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5DF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center"/>
        <w:rPr>
          <w:sz w:val="44"/>
          <w:szCs w:val="44"/>
        </w:rPr>
      </w:pPr>
      <w:r>
        <w:rPr>
          <w:sz w:val="44"/>
          <w:szCs w:val="44"/>
        </w:rPr>
        <w:t>防汛物资采购</w:t>
      </w:r>
      <w:r>
        <w:rPr>
          <w:rFonts w:hint="eastAsia"/>
          <w:sz w:val="44"/>
          <w:szCs w:val="44"/>
          <w:lang w:val="en-US" w:eastAsia="zh-CN"/>
        </w:rPr>
        <w:t>项目</w:t>
      </w:r>
      <w:r>
        <w:rPr>
          <w:sz w:val="44"/>
          <w:szCs w:val="44"/>
        </w:rPr>
        <w:t>市场询价公告</w:t>
      </w:r>
    </w:p>
    <w:p w14:paraId="5917F7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left"/>
        <w:rPr>
          <w:sz w:val="24"/>
          <w:szCs w:val="24"/>
        </w:rPr>
      </w:pPr>
      <w:r>
        <w:rPr>
          <w:rFonts w:ascii="宋体" w:hAnsi="宋体" w:eastAsia="宋体" w:cs="宋体"/>
          <w:kern w:val="0"/>
          <w:sz w:val="24"/>
          <w:szCs w:val="24"/>
          <w:lang w:val="en-US" w:eastAsia="zh-CN" w:bidi="ar"/>
        </w:rPr>
        <w:t>江西师范大学后勤产业发展有限公司现就防汛物资采购项目面向社会开展市场询价，欢迎符合资格条件的服务商参与报价。</w:t>
      </w:r>
    </w:p>
    <w:p w14:paraId="78F1D0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sz w:val="24"/>
          <w:szCs w:val="24"/>
        </w:rPr>
        <w:t>一、采购物资明细</w:t>
      </w:r>
    </w:p>
    <w:tbl>
      <w:tblPr>
        <w:tblStyle w:val="4"/>
        <w:tblW w:w="9100" w:type="dxa"/>
        <w:tblInd w:w="-2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82"/>
        <w:gridCol w:w="3428"/>
        <w:gridCol w:w="830"/>
        <w:gridCol w:w="3160"/>
      </w:tblGrid>
      <w:tr w14:paraId="56AC4BF1">
        <w:trPr>
          <w:trHeight w:val="320" w:hRule="atLeast"/>
          <w:tblHeader/>
        </w:trPr>
        <w:tc>
          <w:tcPr>
            <w:tcW w:w="1682" w:type="dxa"/>
            <w:shd w:val="clear" w:color="auto" w:fill="auto"/>
            <w:vAlign w:val="center"/>
          </w:tcPr>
          <w:p w14:paraId="3081AF2B">
            <w:pPr>
              <w:keepNext w:val="0"/>
              <w:keepLines w:val="0"/>
              <w:widowControl/>
              <w:suppressLineNumbers w:val="0"/>
              <w:spacing w:before="0" w:beforeAutospacing="0" w:after="0" w:afterAutospacing="0" w:line="480" w:lineRule="atLeast"/>
              <w:ind w:left="0" w:right="0"/>
              <w:jc w:val="center"/>
              <w:rPr>
                <w:b/>
                <w:bCs/>
                <w:sz w:val="21"/>
                <w:szCs w:val="21"/>
              </w:rPr>
            </w:pPr>
            <w:r>
              <w:rPr>
                <w:rFonts w:ascii="宋体" w:hAnsi="宋体" w:eastAsia="宋体" w:cs="宋体"/>
                <w:b/>
                <w:bCs/>
                <w:kern w:val="0"/>
                <w:sz w:val="21"/>
                <w:szCs w:val="21"/>
                <w:lang w:val="en-US" w:eastAsia="zh-CN" w:bidi="ar"/>
              </w:rPr>
              <w:t>物资名称</w:t>
            </w:r>
          </w:p>
        </w:tc>
        <w:tc>
          <w:tcPr>
            <w:tcW w:w="3428" w:type="dxa"/>
            <w:shd w:val="clear" w:color="auto" w:fill="auto"/>
            <w:vAlign w:val="center"/>
          </w:tcPr>
          <w:p w14:paraId="75EE7D2F">
            <w:pPr>
              <w:keepNext w:val="0"/>
              <w:keepLines w:val="0"/>
              <w:widowControl/>
              <w:suppressLineNumbers w:val="0"/>
              <w:spacing w:before="0" w:beforeAutospacing="0" w:after="0" w:afterAutospacing="0" w:line="480" w:lineRule="atLeast"/>
              <w:ind w:left="0" w:right="0"/>
              <w:jc w:val="center"/>
              <w:rPr>
                <w:b/>
                <w:bCs/>
                <w:sz w:val="21"/>
                <w:szCs w:val="21"/>
              </w:rPr>
            </w:pPr>
            <w:r>
              <w:rPr>
                <w:rFonts w:ascii="宋体" w:hAnsi="宋体" w:eastAsia="宋体" w:cs="宋体"/>
                <w:b/>
                <w:bCs/>
                <w:kern w:val="0"/>
                <w:sz w:val="21"/>
                <w:szCs w:val="21"/>
                <w:lang w:val="en-US" w:eastAsia="zh-CN" w:bidi="ar"/>
              </w:rPr>
              <w:t>规格参数</w:t>
            </w:r>
          </w:p>
        </w:tc>
        <w:tc>
          <w:tcPr>
            <w:tcW w:w="830" w:type="dxa"/>
            <w:shd w:val="clear" w:color="auto" w:fill="auto"/>
            <w:vAlign w:val="center"/>
          </w:tcPr>
          <w:p w14:paraId="7F9FDA99">
            <w:pPr>
              <w:keepNext w:val="0"/>
              <w:keepLines w:val="0"/>
              <w:widowControl/>
              <w:suppressLineNumbers w:val="0"/>
              <w:spacing w:before="0" w:beforeAutospacing="0" w:after="0" w:afterAutospacing="0" w:line="480" w:lineRule="atLeast"/>
              <w:ind w:left="0" w:right="0"/>
              <w:jc w:val="center"/>
              <w:rPr>
                <w:b/>
                <w:bCs/>
                <w:sz w:val="21"/>
                <w:szCs w:val="21"/>
              </w:rPr>
            </w:pPr>
            <w:r>
              <w:rPr>
                <w:rFonts w:ascii="宋体" w:hAnsi="宋体" w:eastAsia="宋体" w:cs="宋体"/>
                <w:b/>
                <w:bCs/>
                <w:kern w:val="0"/>
                <w:sz w:val="21"/>
                <w:szCs w:val="21"/>
                <w:lang w:val="en-US" w:eastAsia="zh-CN" w:bidi="ar"/>
              </w:rPr>
              <w:t>数量</w:t>
            </w:r>
          </w:p>
        </w:tc>
        <w:tc>
          <w:tcPr>
            <w:tcW w:w="3160" w:type="dxa"/>
            <w:shd w:val="clear" w:color="auto" w:fill="auto"/>
            <w:vAlign w:val="center"/>
          </w:tcPr>
          <w:p w14:paraId="4AF4C906">
            <w:pPr>
              <w:keepNext w:val="0"/>
              <w:keepLines w:val="0"/>
              <w:widowControl/>
              <w:suppressLineNumbers w:val="0"/>
              <w:spacing w:before="0" w:beforeAutospacing="0" w:after="0" w:afterAutospacing="0" w:line="480" w:lineRule="atLeast"/>
              <w:ind w:left="0" w:right="0"/>
              <w:jc w:val="center"/>
              <w:rPr>
                <w:b/>
                <w:bCs/>
                <w:sz w:val="21"/>
                <w:szCs w:val="21"/>
              </w:rPr>
            </w:pPr>
            <w:r>
              <w:rPr>
                <w:rFonts w:ascii="宋体" w:hAnsi="宋体" w:eastAsia="宋体" w:cs="宋体"/>
                <w:b/>
                <w:bCs/>
                <w:kern w:val="0"/>
                <w:sz w:val="21"/>
                <w:szCs w:val="21"/>
                <w:lang w:val="en-US" w:eastAsia="zh-CN" w:bidi="ar"/>
              </w:rPr>
              <w:t>配套要求</w:t>
            </w:r>
          </w:p>
        </w:tc>
      </w:tr>
      <w:tr w14:paraId="158DEAA5">
        <w:tc>
          <w:tcPr>
            <w:tcW w:w="1682" w:type="dxa"/>
            <w:shd w:val="clear" w:color="auto" w:fill="auto"/>
            <w:vAlign w:val="center"/>
          </w:tcPr>
          <w:p w14:paraId="675C9ADC">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分体式雨衣</w:t>
            </w:r>
          </w:p>
        </w:tc>
        <w:tc>
          <w:tcPr>
            <w:tcW w:w="3428" w:type="dxa"/>
            <w:shd w:val="clear" w:color="auto" w:fill="auto"/>
            <w:vAlign w:val="center"/>
          </w:tcPr>
          <w:p w14:paraId="0DBE7A57">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标准分体防汛款</w:t>
            </w:r>
          </w:p>
        </w:tc>
        <w:tc>
          <w:tcPr>
            <w:tcW w:w="830" w:type="dxa"/>
            <w:shd w:val="clear" w:color="auto" w:fill="auto"/>
            <w:vAlign w:val="center"/>
          </w:tcPr>
          <w:p w14:paraId="656E0DB4">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25 套</w:t>
            </w:r>
          </w:p>
        </w:tc>
        <w:tc>
          <w:tcPr>
            <w:tcW w:w="3160" w:type="dxa"/>
            <w:shd w:val="clear" w:color="auto" w:fill="auto"/>
            <w:vAlign w:val="center"/>
          </w:tcPr>
          <w:p w14:paraId="3B20D864">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防水耐磨、加厚面料</w:t>
            </w:r>
          </w:p>
        </w:tc>
      </w:tr>
      <w:tr w14:paraId="4062BA85">
        <w:tc>
          <w:tcPr>
            <w:tcW w:w="1682" w:type="dxa"/>
            <w:shd w:val="clear" w:color="auto" w:fill="auto"/>
            <w:vAlign w:val="center"/>
          </w:tcPr>
          <w:p w14:paraId="44B45BA2">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高帮雨鞋</w:t>
            </w:r>
          </w:p>
        </w:tc>
        <w:tc>
          <w:tcPr>
            <w:tcW w:w="3428" w:type="dxa"/>
            <w:shd w:val="clear" w:color="auto" w:fill="auto"/>
            <w:vAlign w:val="center"/>
          </w:tcPr>
          <w:p w14:paraId="50F077EC">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防滑橡胶高帮款</w:t>
            </w:r>
          </w:p>
        </w:tc>
        <w:tc>
          <w:tcPr>
            <w:tcW w:w="830" w:type="dxa"/>
            <w:shd w:val="clear" w:color="auto" w:fill="auto"/>
            <w:vAlign w:val="center"/>
          </w:tcPr>
          <w:p w14:paraId="6E5B9877">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25 双</w:t>
            </w:r>
          </w:p>
        </w:tc>
        <w:tc>
          <w:tcPr>
            <w:tcW w:w="3160" w:type="dxa"/>
            <w:shd w:val="clear" w:color="auto" w:fill="auto"/>
            <w:vAlign w:val="center"/>
          </w:tcPr>
          <w:p w14:paraId="3B8A1066">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耐磨防滑、防水高度达标</w:t>
            </w:r>
          </w:p>
        </w:tc>
      </w:tr>
      <w:tr w14:paraId="362274E2">
        <w:tc>
          <w:tcPr>
            <w:tcW w:w="1682" w:type="dxa"/>
            <w:shd w:val="clear" w:color="auto" w:fill="auto"/>
            <w:vAlign w:val="center"/>
          </w:tcPr>
          <w:p w14:paraId="6B0A52AA">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铝合金防汛挡板</w:t>
            </w:r>
          </w:p>
        </w:tc>
        <w:tc>
          <w:tcPr>
            <w:tcW w:w="3428" w:type="dxa"/>
            <w:shd w:val="clear" w:color="auto" w:fill="auto"/>
            <w:vAlign w:val="center"/>
          </w:tcPr>
          <w:p w14:paraId="4C9201B0">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尺寸</w:t>
            </w:r>
            <w:r>
              <w:rPr>
                <w:rFonts w:ascii="宋体" w:hAnsi="宋体" w:eastAsia="宋体" w:cs="宋体"/>
                <w:i w:val="0"/>
                <w:iCs w:val="0"/>
                <w:kern w:val="0"/>
                <w:sz w:val="21"/>
                <w:szCs w:val="21"/>
                <w:lang w:val="en-US" w:eastAsia="zh-CN" w:bidi="ar"/>
              </w:rPr>
              <w:t xml:space="preserve"> 7.2m*</w:t>
            </w:r>
            <w:r>
              <w:rPr>
                <w:rStyle w:val="7"/>
                <w:rFonts w:ascii="宋体" w:hAnsi="宋体" w:eastAsia="宋体" w:cs="宋体"/>
                <w:i w:val="0"/>
                <w:iCs w:val="0"/>
                <w:kern w:val="0"/>
                <w:sz w:val="21"/>
                <w:szCs w:val="21"/>
                <w:lang w:val="en-US" w:eastAsia="zh-CN" w:bidi="ar"/>
              </w:rPr>
              <w:t>0.6m</w:t>
            </w:r>
            <w:r>
              <w:rPr>
                <w:rFonts w:ascii="宋体" w:hAnsi="宋体" w:eastAsia="宋体" w:cs="宋体"/>
                <w:i w:val="0"/>
                <w:iCs w:val="0"/>
                <w:kern w:val="0"/>
                <w:sz w:val="21"/>
                <w:szCs w:val="21"/>
                <w:lang w:val="en-US" w:eastAsia="zh-CN" w:bidi="ar"/>
              </w:rPr>
              <w:t>*0.04m，铝合金</w:t>
            </w:r>
            <w:r>
              <w:rPr>
                <w:rFonts w:ascii="宋体" w:hAnsi="宋体" w:eastAsia="宋体" w:cs="宋体"/>
                <w:kern w:val="0"/>
                <w:sz w:val="21"/>
                <w:szCs w:val="21"/>
                <w:lang w:val="en-US" w:eastAsia="zh-CN" w:bidi="ar"/>
              </w:rPr>
              <w:t>材质</w:t>
            </w:r>
          </w:p>
        </w:tc>
        <w:tc>
          <w:tcPr>
            <w:tcW w:w="830" w:type="dxa"/>
            <w:shd w:val="clear" w:color="auto" w:fill="auto"/>
            <w:vAlign w:val="center"/>
          </w:tcPr>
          <w:p w14:paraId="377B8AE9">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4 套</w:t>
            </w:r>
          </w:p>
        </w:tc>
        <w:tc>
          <w:tcPr>
            <w:tcW w:w="3160" w:type="dxa"/>
            <w:shd w:val="clear" w:color="auto" w:fill="auto"/>
            <w:vAlign w:val="center"/>
          </w:tcPr>
          <w:p w14:paraId="077A375C">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含上门安装、配套收纳设施</w:t>
            </w:r>
          </w:p>
        </w:tc>
      </w:tr>
      <w:tr w14:paraId="5F2B5739">
        <w:tc>
          <w:tcPr>
            <w:tcW w:w="1682" w:type="dxa"/>
            <w:shd w:val="clear" w:color="auto" w:fill="auto"/>
            <w:vAlign w:val="center"/>
          </w:tcPr>
          <w:p w14:paraId="7B3BA6FC">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铁锹</w:t>
            </w:r>
          </w:p>
        </w:tc>
        <w:tc>
          <w:tcPr>
            <w:tcW w:w="3428" w:type="dxa"/>
            <w:shd w:val="clear" w:color="auto" w:fill="auto"/>
            <w:vAlign w:val="center"/>
          </w:tcPr>
          <w:p w14:paraId="62AB8183">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宽头10把、窄头10把</w:t>
            </w:r>
          </w:p>
        </w:tc>
        <w:tc>
          <w:tcPr>
            <w:tcW w:w="830" w:type="dxa"/>
            <w:shd w:val="clear" w:color="auto" w:fill="auto"/>
            <w:vAlign w:val="center"/>
          </w:tcPr>
          <w:p w14:paraId="40E898A5">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20 把</w:t>
            </w:r>
          </w:p>
        </w:tc>
        <w:tc>
          <w:tcPr>
            <w:tcW w:w="3160" w:type="dxa"/>
            <w:shd w:val="clear" w:color="auto" w:fill="auto"/>
            <w:vAlign w:val="center"/>
          </w:tcPr>
          <w:p w14:paraId="5D0DDD8C">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钢制锹头、实木手柄，结实耐用</w:t>
            </w:r>
          </w:p>
        </w:tc>
      </w:tr>
      <w:tr w14:paraId="425A08FA">
        <w:tc>
          <w:tcPr>
            <w:tcW w:w="1682" w:type="dxa"/>
            <w:shd w:val="clear" w:color="auto" w:fill="auto"/>
            <w:vAlign w:val="center"/>
          </w:tcPr>
          <w:p w14:paraId="4779AFD6">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防汛专用沙袋</w:t>
            </w:r>
          </w:p>
        </w:tc>
        <w:tc>
          <w:tcPr>
            <w:tcW w:w="3428" w:type="dxa"/>
            <w:shd w:val="clear" w:color="auto" w:fill="auto"/>
            <w:vAlign w:val="center"/>
          </w:tcPr>
          <w:p w14:paraId="5C2E1B7C">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尺寸0.7m*0.3m</w:t>
            </w:r>
          </w:p>
        </w:tc>
        <w:tc>
          <w:tcPr>
            <w:tcW w:w="830" w:type="dxa"/>
            <w:shd w:val="clear" w:color="auto" w:fill="auto"/>
            <w:vAlign w:val="center"/>
          </w:tcPr>
          <w:p w14:paraId="2BB03B74">
            <w:pPr>
              <w:keepNext w:val="0"/>
              <w:keepLines w:val="0"/>
              <w:widowControl/>
              <w:suppressLineNumbers w:val="0"/>
              <w:spacing w:before="0" w:beforeAutospacing="0" w:after="0" w:afterAutospacing="0" w:line="480" w:lineRule="atLeast"/>
              <w:ind w:left="0" w:right="0"/>
              <w:jc w:val="center"/>
              <w:rPr>
                <w:sz w:val="21"/>
                <w:szCs w:val="21"/>
              </w:rPr>
            </w:pPr>
            <w:r>
              <w:rPr>
                <w:rFonts w:ascii="宋体" w:hAnsi="宋体" w:eastAsia="宋体" w:cs="宋体"/>
                <w:kern w:val="0"/>
                <w:sz w:val="21"/>
                <w:szCs w:val="21"/>
                <w:lang w:val="en-US" w:eastAsia="zh-CN" w:bidi="ar"/>
              </w:rPr>
              <w:t>150 包</w:t>
            </w:r>
          </w:p>
        </w:tc>
        <w:tc>
          <w:tcPr>
            <w:tcW w:w="3160" w:type="dxa"/>
            <w:shd w:val="clear" w:color="auto" w:fill="auto"/>
            <w:vAlign w:val="center"/>
          </w:tcPr>
          <w:p w14:paraId="797C5ED4">
            <w:pPr>
              <w:keepNext w:val="0"/>
              <w:keepLines w:val="0"/>
              <w:widowControl/>
              <w:suppressLineNumbers w:val="0"/>
              <w:spacing w:before="0" w:beforeAutospacing="0" w:after="0" w:afterAutospacing="0" w:line="480" w:lineRule="atLeast"/>
              <w:ind w:left="0" w:right="0"/>
              <w:jc w:val="left"/>
              <w:rPr>
                <w:sz w:val="21"/>
                <w:szCs w:val="21"/>
              </w:rPr>
            </w:pPr>
            <w:r>
              <w:rPr>
                <w:rFonts w:ascii="宋体" w:hAnsi="宋体" w:eastAsia="宋体" w:cs="宋体"/>
                <w:kern w:val="0"/>
                <w:sz w:val="21"/>
                <w:szCs w:val="21"/>
                <w:lang w:val="en-US" w:eastAsia="zh-CN" w:bidi="ar"/>
              </w:rPr>
              <w:t>袋体灌装足量黄沙，封口牢固</w:t>
            </w:r>
          </w:p>
        </w:tc>
      </w:tr>
    </w:tbl>
    <w:p w14:paraId="1ED0340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sz w:val="24"/>
          <w:szCs w:val="24"/>
        </w:rPr>
        <w:t>二、报价截止时间及材料要求</w:t>
      </w:r>
    </w:p>
    <w:p w14:paraId="14E8CB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ascii="宋体" w:hAnsi="宋体" w:eastAsia="宋体" w:cs="宋体"/>
          <w:kern w:val="0"/>
          <w:sz w:val="24"/>
          <w:szCs w:val="24"/>
          <w:lang w:val="en-US" w:eastAsia="zh-CN" w:bidi="ar"/>
        </w:rPr>
        <w:t>（一）报价递交方式：有意向单位可现场递交或快递报送报价资料，</w:t>
      </w:r>
      <w:r>
        <w:rPr>
          <w:rStyle w:val="6"/>
          <w:rFonts w:ascii="宋体" w:hAnsi="宋体" w:eastAsia="宋体" w:cs="宋体"/>
          <w:b/>
          <w:bCs/>
          <w:kern w:val="0"/>
          <w:sz w:val="24"/>
          <w:szCs w:val="24"/>
          <w:lang w:val="en-US" w:eastAsia="zh-CN" w:bidi="ar"/>
        </w:rPr>
        <w:t xml:space="preserve">报价截止时间：2026 年 6 月 </w:t>
      </w:r>
      <w:r>
        <w:rPr>
          <w:rStyle w:val="6"/>
          <w:rFonts w:hint="eastAsia" w:ascii="宋体" w:hAnsi="宋体" w:eastAsia="宋体" w:cs="宋体"/>
          <w:b/>
          <w:bCs/>
          <w:kern w:val="0"/>
          <w:sz w:val="24"/>
          <w:szCs w:val="24"/>
          <w:lang w:val="en-US" w:eastAsia="zh-CN" w:bidi="ar"/>
        </w:rPr>
        <w:t>30</w:t>
      </w:r>
      <w:r>
        <w:rPr>
          <w:rStyle w:val="6"/>
          <w:rFonts w:ascii="宋体" w:hAnsi="宋体" w:eastAsia="宋体" w:cs="宋体"/>
          <w:b/>
          <w:bCs/>
          <w:kern w:val="0"/>
          <w:sz w:val="24"/>
          <w:szCs w:val="24"/>
          <w:lang w:val="en-US" w:eastAsia="zh-CN" w:bidi="ar"/>
        </w:rPr>
        <w:t xml:space="preserve"> 日 1</w:t>
      </w:r>
      <w:r>
        <w:rPr>
          <w:rStyle w:val="6"/>
          <w:rFonts w:hint="eastAsia" w:ascii="宋体" w:hAnsi="宋体" w:eastAsia="宋体" w:cs="宋体"/>
          <w:b/>
          <w:bCs/>
          <w:kern w:val="0"/>
          <w:sz w:val="24"/>
          <w:szCs w:val="24"/>
          <w:lang w:val="en-US" w:eastAsia="zh-CN" w:bidi="ar"/>
        </w:rPr>
        <w:t>7</w:t>
      </w:r>
      <w:bookmarkStart w:id="0" w:name="_GoBack"/>
      <w:bookmarkEnd w:id="0"/>
      <w:r>
        <w:rPr>
          <w:rStyle w:val="6"/>
          <w:rFonts w:ascii="宋体" w:hAnsi="宋体" w:eastAsia="宋体" w:cs="宋体"/>
          <w:b/>
          <w:bCs/>
          <w:kern w:val="0"/>
          <w:sz w:val="24"/>
          <w:szCs w:val="24"/>
          <w:lang w:val="en-US" w:eastAsia="zh-CN" w:bidi="ar"/>
        </w:rPr>
        <w:t xml:space="preserve"> 点 00 分（北京时间）</w:t>
      </w:r>
      <w:r>
        <w:rPr>
          <w:rFonts w:ascii="宋体" w:hAnsi="宋体" w:eastAsia="宋体" w:cs="宋体"/>
          <w:kern w:val="0"/>
          <w:sz w:val="24"/>
          <w:szCs w:val="24"/>
          <w:lang w:val="en-US" w:eastAsia="zh-CN" w:bidi="ar"/>
        </w:rPr>
        <w:t>，逾期送达视为无效报价。（二）报价材料要求：全套材料为 A4 规格复印件一份，封面及全部内页加盖单位公章，单独密封报送报价表，整套资料包含：</w:t>
      </w:r>
    </w:p>
    <w:p w14:paraId="38E4B056">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企业法人营业执照复印件加盖公章，经营范围须包含防汛物资、劳保用品或五金器材相关经营类目；</w:t>
      </w:r>
    </w:p>
    <w:p w14:paraId="5F711C6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企业法定代表人身份证复印件加盖公章；</w:t>
      </w:r>
    </w:p>
    <w:p w14:paraId="5AF85C7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法定代表人授权书原件（若报价经办人是法定代表人本人，无需提供）；</w:t>
      </w:r>
    </w:p>
    <w:p w14:paraId="2AC7DE1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本项目防汛物资采购报价表（单独密封，列明单品单价、总价、运费、安装费等全部费用）；</w:t>
      </w:r>
    </w:p>
    <w:p w14:paraId="713D86DB">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服务商电子邮箱、业务联系人、联系电话。</w:t>
      </w:r>
    </w:p>
    <w:p w14:paraId="4843D45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sz w:val="24"/>
          <w:szCs w:val="24"/>
        </w:rPr>
        <w:t>三、服务与质量要求</w:t>
      </w:r>
    </w:p>
    <w:p w14:paraId="1A92298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服务商具备防汛物资供应相关经营资质，所供全部物资符合国家防汛物资相关质量标准，无破损、残次；</w:t>
      </w:r>
    </w:p>
    <w:p w14:paraId="0342B0C4">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铝合金防汛挡板需免费上门完成现场安装调试，同步配套提供专用收纳存放设施；</w:t>
      </w:r>
    </w:p>
    <w:p w14:paraId="47D840AD">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所有物资交付后质保期不少于 12 个月，质保期内出现质量问题免费更换、补货；</w:t>
      </w:r>
    </w:p>
    <w:p w14:paraId="47BC69F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物资送货上门至江西师范大学瑶湖校区指定点位，产生的运输、装卸、安装等全部费用均包含在总报价内，采购人不另行支付其他费用；</w:t>
      </w:r>
    </w:p>
    <w:p w14:paraId="281C085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本项目采购总预算控制金额：18000元，实际采购数量以校方最终需求为准；本次询价采用低价评审方式，在完全满足采购物资规格、质量标准、配套服务要求前提下，选取总报价最低的服务商作为成交单位。</w:t>
      </w:r>
    </w:p>
    <w:p w14:paraId="4BBAC14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sz w:val="24"/>
          <w:szCs w:val="24"/>
        </w:rPr>
        <w:t>四、资料接收信息</w:t>
      </w:r>
    </w:p>
    <w:p w14:paraId="71A916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接收人：徐老师</w:t>
      </w:r>
      <w:r>
        <w:rPr>
          <w:rFonts w:hint="eastAsia" w:ascii="宋体" w:hAnsi="宋体" w:eastAsia="宋体" w:cs="宋体"/>
          <w:kern w:val="0"/>
          <w:sz w:val="24"/>
          <w:szCs w:val="24"/>
          <w:lang w:val="en-US" w:eastAsia="zh-CN" w:bidi="ar"/>
        </w:rPr>
        <w:t xml:space="preserve">   </w:t>
      </w:r>
      <w:r>
        <w:rPr>
          <w:rFonts w:ascii="宋体" w:hAnsi="宋体" w:eastAsia="宋体" w:cs="宋体"/>
          <w:kern w:val="0"/>
          <w:sz w:val="24"/>
          <w:szCs w:val="24"/>
          <w:lang w:val="en-US" w:eastAsia="zh-CN" w:bidi="ar"/>
        </w:rPr>
        <w:t>联系电话：17897910081</w:t>
      </w:r>
    </w:p>
    <w:p w14:paraId="534A64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rFonts w:ascii="宋体" w:hAnsi="宋体" w:eastAsia="宋体" w:cs="宋体"/>
          <w:kern w:val="0"/>
          <w:sz w:val="24"/>
          <w:szCs w:val="24"/>
          <w:lang w:val="en-US" w:eastAsia="zh-CN" w:bidi="ar"/>
        </w:rPr>
        <w:t>地址：江西省南昌市紫阳大道 99 号江西师范大学</w:t>
      </w:r>
    </w:p>
    <w:p w14:paraId="6683D9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rPr>
          <w:sz w:val="24"/>
          <w:szCs w:val="24"/>
        </w:rPr>
      </w:pPr>
      <w:r>
        <w:rPr>
          <w:sz w:val="24"/>
          <w:szCs w:val="24"/>
        </w:rPr>
        <w:t>五、其他备注</w:t>
      </w:r>
    </w:p>
    <w:p w14:paraId="2B8F9E0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所有提交报价资料每页均须加盖单位公章，资料缺失、未加盖公章、密封不规范均视为无效报价；</w:t>
      </w:r>
    </w:p>
    <w:p w14:paraId="267CC47B">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报价单位须现场或自行踏勘校区物资交付点位，充分核算运输、安装、耗材等全部成本，报价一经提交不作调整；</w:t>
      </w:r>
    </w:p>
    <w:p w14:paraId="6E7BE9A6">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hanging="360"/>
        <w:jc w:val="left"/>
        <w:rPr>
          <w:sz w:val="24"/>
          <w:szCs w:val="24"/>
        </w:rPr>
      </w:pPr>
      <w:r>
        <w:rPr>
          <w:sz w:val="24"/>
          <w:szCs w:val="24"/>
        </w:rPr>
        <w:t>成交服务商须在接到成交通知后 3 个工作日内完成全部物资配送及挡板安装工作。</w:t>
      </w:r>
    </w:p>
    <w:p w14:paraId="116141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t>江西师范大学后勤产业发展有限公司</w:t>
      </w:r>
    </w:p>
    <w:p w14:paraId="487E91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right"/>
        <w:rPr>
          <w:sz w:val="24"/>
          <w:szCs w:val="24"/>
        </w:rPr>
      </w:pPr>
      <w:r>
        <w:rPr>
          <w:rFonts w:ascii="宋体" w:hAnsi="宋体" w:eastAsia="宋体" w:cs="宋体"/>
          <w:kern w:val="0"/>
          <w:sz w:val="24"/>
          <w:szCs w:val="24"/>
          <w:lang w:val="en-US" w:eastAsia="zh-CN" w:bidi="ar"/>
        </w:rPr>
        <w:t xml:space="preserve">2026 年 6 月 </w:t>
      </w:r>
      <w:r>
        <w:rPr>
          <w:rFonts w:hint="eastAsia" w:ascii="宋体" w:hAnsi="宋体" w:eastAsia="宋体" w:cs="宋体"/>
          <w:kern w:val="0"/>
          <w:sz w:val="24"/>
          <w:szCs w:val="24"/>
          <w:lang w:val="en-US" w:eastAsia="zh-CN" w:bidi="ar"/>
        </w:rPr>
        <w:t>25</w:t>
      </w:r>
      <w:r>
        <w:rPr>
          <w:rFonts w:ascii="宋体" w:hAnsi="宋体" w:eastAsia="宋体" w:cs="宋体"/>
          <w:kern w:val="0"/>
          <w:sz w:val="24"/>
          <w:szCs w:val="24"/>
          <w:lang w:val="en-US" w:eastAsia="zh-CN" w:bidi="ar"/>
        </w:rPr>
        <w:t xml:space="preserve"> 日</w:t>
      </w:r>
    </w:p>
    <w:p w14:paraId="1D7EEBB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37AA17"/>
    <w:multiLevelType w:val="multilevel"/>
    <w:tmpl w:val="AF37AA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FFDB4152"/>
    <w:multiLevelType w:val="multilevel"/>
    <w:tmpl w:val="FFDB415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7BCF84B2"/>
    <w:multiLevelType w:val="multilevel"/>
    <w:tmpl w:val="7BCF84B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3F5119"/>
    <w:rsid w:val="4FEFB44C"/>
    <w:rsid w:val="66FFD256"/>
    <w:rsid w:val="7CEFECA8"/>
    <w:rsid w:val="7D3F5119"/>
    <w:rsid w:val="EDED0F75"/>
    <w:rsid w:val="EF340B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15</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2026-06-23T23:28:00Z</dcterms:created>
  <dc:creator>翁治捷</dc:creator>
  <cp:lastModifiedBy>翁治捷</cp:lastModifiedBy>
  <cp:lastPrinted>2026-06-24T15:00:00Z</cp:lastPrinted>
  <dcterms:modified xsi:type="dcterms:W3CDTF">2026-06-25T10:37:53Z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3857F1761304AB2B14E4386A47FCF942_41</vt:lpwstr>
  </property>
</Properties>
</file>