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2409">
      <w:pPr>
        <w:pStyle w:val="2"/>
        <w:widowControl/>
        <w:spacing w:beforeAutospacing="0" w:afterAutospacing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江西师范大学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瑶湖校区音乐艺术广场结构安全鉴定</w:t>
      </w:r>
    </w:p>
    <w:p w14:paraId="34C6877A">
      <w:pPr>
        <w:pStyle w:val="2"/>
        <w:widowControl/>
        <w:spacing w:beforeAutospacing="0" w:afterAutospacing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服务询价通告</w:t>
      </w:r>
    </w:p>
    <w:p w14:paraId="3F48181B">
      <w:pPr>
        <w:widowControl/>
        <w:spacing w:line="468" w:lineRule="atLeast"/>
        <w:ind w:firstLine="444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4BD193E8">
      <w:pPr>
        <w:widowControl/>
        <w:spacing w:line="468" w:lineRule="atLeast"/>
        <w:ind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根据工作安排，我校需委托具有专业资质的单位对江西师范大学瑶湖校区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音乐艺术广场进行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结构安全鉴定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，现进行公开市场询价，欢迎具备资格条件（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须属于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南昌市住房和城乡建设局公开发布的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有效期内的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《房屋结构安全鉴定机构名录》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中的机构，具有相应鉴定资质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）且有意愿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承接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的单位报名。</w:t>
      </w:r>
    </w:p>
    <w:p w14:paraId="42240BCA">
      <w:pPr>
        <w:widowControl/>
        <w:spacing w:line="468" w:lineRule="atLeast"/>
        <w:ind w:firstLine="60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一、项目相关情况</w:t>
      </w:r>
    </w:p>
    <w:p w14:paraId="7090FB53">
      <w:pPr>
        <w:widowControl/>
        <w:spacing w:line="468" w:lineRule="atLeas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音乐艺术广场位于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江西师范大学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瑶湖校区内东面，始建于2004年，于2011年改造建成投入使用，后经2015年、2019年改建扩建；使用用途原为露天剧场、音乐厅、电影院，改造后部分用途发生了改变；基础形式为独立基础，结构形式为钢筋混凝土框架结构，电影院屋面为网架结构。</w:t>
      </w:r>
    </w:p>
    <w:p w14:paraId="1F80457C">
      <w:pPr>
        <w:widowControl/>
        <w:spacing w:line="468" w:lineRule="atLeast"/>
        <w:ind w:firstLine="602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二、服务内容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和时间要求</w:t>
      </w:r>
    </w:p>
    <w:p w14:paraId="3BEBF15A">
      <w:pPr>
        <w:widowControl/>
        <w:spacing w:line="468" w:lineRule="atLeast"/>
        <w:ind w:firstLine="600" w:firstLineChars="2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此次询价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需鉴定音乐艺术广场全部区域，原设计为12680.88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㎡，改扩建后的建筑面积以该建筑现状为准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现需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对该建筑进行结构安全鉴定，具体包含：检测、房屋现状结构安全性鉴定、抗震性能鉴定等内容。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收到服务通知书后1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日内完成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结构安全鉴定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并出具正式盖章版本的房屋结构安全鉴定意见书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</w:p>
    <w:p w14:paraId="7329E628">
      <w:pPr>
        <w:widowControl/>
        <w:spacing w:line="468" w:lineRule="atLeast"/>
        <w:ind w:firstLine="60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、服务费</w:t>
      </w:r>
    </w:p>
    <w:p w14:paraId="136B266E">
      <w:pPr>
        <w:widowControl/>
        <w:spacing w:line="468" w:lineRule="atLeast"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应询机构根据现场踏勘情况自行报价，总价包干（不得明显低于成本价，也不得高于有关指导价）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</w:p>
    <w:p w14:paraId="4CB69B4A">
      <w:pPr>
        <w:widowControl/>
        <w:spacing w:line="468" w:lineRule="atLeast"/>
        <w:ind w:firstLine="60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、付款方式</w:t>
      </w:r>
    </w:p>
    <w:p w14:paraId="6AD89D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完成检测及鉴定等工作并提供合格的检测及鉴定报告后，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付至合同金额的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70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，后期需积极与此次鉴定、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改造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相关的设计单位（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结构安全加固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设计单位）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配合，在设计单位提交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经合格性审查的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设计成果后，一个月内付清合同尾款。</w:t>
      </w:r>
    </w:p>
    <w:p w14:paraId="7CE38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2" w:firstLineChars="200"/>
        <w:jc w:val="left"/>
        <w:textAlignment w:val="auto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、报名截止时间及材料要求</w:t>
      </w:r>
    </w:p>
    <w:p w14:paraId="40E7D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符合条件且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有意愿报名的单位请参加将于202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0统一组织的现场踏勘（并提交报名单位营业执照副本复印件）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未参与现场勘察的单位，其报价认定为无效。</w:t>
      </w:r>
    </w:p>
    <w:p w14:paraId="18A71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（二）报名截止时间：202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日17:00（以报名材料送达时间为准）。</w:t>
      </w:r>
    </w:p>
    <w:p w14:paraId="5E111E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（三）材料要求：提供以下材料的复印件一份（A4规格、双面印刷装订成册，封面及骑缝加盖单位公章）。</w:t>
      </w:r>
    </w:p>
    <w:p w14:paraId="51CD3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1．企业法人营业执照副本复印件，复印件应能清晰地反映企业经营范围等情况；</w:t>
      </w:r>
    </w:p>
    <w:p w14:paraId="4A160A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2．税务登记证及组织机构代码复印件（已办理三证合一无需提供）；</w:t>
      </w:r>
    </w:p>
    <w:p w14:paraId="4AA8E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3．银行开户许可证复印件；</w:t>
      </w:r>
    </w:p>
    <w:p w14:paraId="4DB4EC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4．法定代表人身份证复印件；</w:t>
      </w:r>
    </w:p>
    <w:p w14:paraId="30E40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5．法定代表人授权书原件（报名代表是法定代表人的无需提供）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；</w:t>
      </w:r>
    </w:p>
    <w:p w14:paraId="377AA2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yellow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6．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 w:bidi="ar"/>
        </w:rPr>
        <w:t>南昌市住建局公开发布的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bidi="ar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南昌市房屋结构安全鉴定机构名录》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等官方文件中载明具有相应鉴定资质的证明材料并加盖本机构公章；</w:t>
      </w:r>
    </w:p>
    <w:p w14:paraId="76ABB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7．报价一览表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总价，以及组价明细）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；</w:t>
      </w:r>
    </w:p>
    <w:p w14:paraId="3481F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8．其他相关文件资料（如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联系人、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联系方式等）。</w:t>
      </w:r>
    </w:p>
    <w:p w14:paraId="780F1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以上材料均需加盖单位公章并装订、装袋、密封（盖骑缝章）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材料要齐全规范，否则报名无效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或拒绝报告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  <w:bookmarkStart w:id="0" w:name="_GoBack"/>
      <w:bookmarkEnd w:id="0"/>
    </w:p>
    <w:p w14:paraId="7547D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2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、联系人：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项目咨询、现场踏勘、入校报备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有关事项，请联系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徐老师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13617080365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</w:p>
    <w:p w14:paraId="60929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8" w:lineRule="atLeast"/>
        <w:ind w:firstLine="602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、材料邮寄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送达）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地址：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bidi="ar"/>
        </w:rPr>
        <w:t>南昌市紫阳大道99号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江西师范大学瑶湖校区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徐老师（收），13617080365，邮编：3300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。</w:t>
      </w:r>
    </w:p>
    <w:p w14:paraId="53E0525C">
      <w:pPr>
        <w:widowControl/>
        <w:spacing w:line="288" w:lineRule="atLeast"/>
        <w:ind w:firstLine="37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2DFCE2CC">
      <w:pPr>
        <w:widowControl/>
        <w:spacing w:line="288" w:lineRule="atLeast"/>
        <w:ind w:firstLine="372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 w14:paraId="5FC46385">
      <w:pPr>
        <w:widowControl/>
        <w:spacing w:line="468" w:lineRule="atLeast"/>
        <w:ind w:firstLine="444"/>
        <w:jc w:val="righ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江西师范大学基建管理处</w:t>
      </w:r>
    </w:p>
    <w:p w14:paraId="0C2AC5D4">
      <w:pPr>
        <w:widowControl/>
        <w:spacing w:line="468" w:lineRule="atLeast"/>
        <w:ind w:firstLine="444"/>
        <w:jc w:val="righ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日</w:t>
      </w:r>
    </w:p>
    <w:p w14:paraId="5FF407B1">
      <w:pPr>
        <w:widowControl/>
        <w:spacing w:line="468" w:lineRule="atLeast"/>
        <w:ind w:firstLine="444"/>
        <w:jc w:val="righ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977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A18A2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A18A2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95F3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NzJhYjdmNWM5YjYxZGQ5NGZiMDA5MGM5NmM5NDMifQ=="/>
  </w:docVars>
  <w:rsids>
    <w:rsidRoot w:val="31621A1C"/>
    <w:rsid w:val="000800AB"/>
    <w:rsid w:val="000A0C4C"/>
    <w:rsid w:val="000C6894"/>
    <w:rsid w:val="001479A5"/>
    <w:rsid w:val="003D4E4D"/>
    <w:rsid w:val="004F11A1"/>
    <w:rsid w:val="00503F7E"/>
    <w:rsid w:val="00586E78"/>
    <w:rsid w:val="005B34A1"/>
    <w:rsid w:val="005B61B6"/>
    <w:rsid w:val="005E0AF2"/>
    <w:rsid w:val="00665A71"/>
    <w:rsid w:val="006D78EC"/>
    <w:rsid w:val="006F0420"/>
    <w:rsid w:val="0084693D"/>
    <w:rsid w:val="00866539"/>
    <w:rsid w:val="00934F77"/>
    <w:rsid w:val="00983982"/>
    <w:rsid w:val="00991D7F"/>
    <w:rsid w:val="00A21A22"/>
    <w:rsid w:val="00AF20AC"/>
    <w:rsid w:val="00B924F0"/>
    <w:rsid w:val="00C525E0"/>
    <w:rsid w:val="00C64AB5"/>
    <w:rsid w:val="00C768AC"/>
    <w:rsid w:val="00D32F3E"/>
    <w:rsid w:val="00D55756"/>
    <w:rsid w:val="00D635D0"/>
    <w:rsid w:val="00EE2844"/>
    <w:rsid w:val="00F14EC1"/>
    <w:rsid w:val="00F85B5F"/>
    <w:rsid w:val="00FE3351"/>
    <w:rsid w:val="01E93CCB"/>
    <w:rsid w:val="043438CC"/>
    <w:rsid w:val="089528CA"/>
    <w:rsid w:val="0C736C94"/>
    <w:rsid w:val="0CBD70AC"/>
    <w:rsid w:val="0F5C1A03"/>
    <w:rsid w:val="0F5D3657"/>
    <w:rsid w:val="0F924501"/>
    <w:rsid w:val="100219E7"/>
    <w:rsid w:val="10280789"/>
    <w:rsid w:val="123523AB"/>
    <w:rsid w:val="13FF7A53"/>
    <w:rsid w:val="14095298"/>
    <w:rsid w:val="164A1E2B"/>
    <w:rsid w:val="189C4893"/>
    <w:rsid w:val="1AA30F85"/>
    <w:rsid w:val="1B950C9D"/>
    <w:rsid w:val="1BC021BE"/>
    <w:rsid w:val="1CED76EA"/>
    <w:rsid w:val="236D2C2B"/>
    <w:rsid w:val="26AC07A4"/>
    <w:rsid w:val="281B645A"/>
    <w:rsid w:val="2ACE317F"/>
    <w:rsid w:val="2ADA0A67"/>
    <w:rsid w:val="2D3B716F"/>
    <w:rsid w:val="2FAA1F68"/>
    <w:rsid w:val="31621A1C"/>
    <w:rsid w:val="317130A9"/>
    <w:rsid w:val="358339FF"/>
    <w:rsid w:val="35966357"/>
    <w:rsid w:val="37165DEE"/>
    <w:rsid w:val="372413FB"/>
    <w:rsid w:val="38A42ACA"/>
    <w:rsid w:val="3B8E3FC5"/>
    <w:rsid w:val="3C0D652A"/>
    <w:rsid w:val="3CEF6007"/>
    <w:rsid w:val="41462CF7"/>
    <w:rsid w:val="44472BCC"/>
    <w:rsid w:val="475A0EF3"/>
    <w:rsid w:val="4B610AB6"/>
    <w:rsid w:val="553A488D"/>
    <w:rsid w:val="56405EC8"/>
    <w:rsid w:val="5909709A"/>
    <w:rsid w:val="5CE648D9"/>
    <w:rsid w:val="5EFE46E0"/>
    <w:rsid w:val="61C11BB3"/>
    <w:rsid w:val="61DC5F6C"/>
    <w:rsid w:val="62983350"/>
    <w:rsid w:val="6461518D"/>
    <w:rsid w:val="64B45B55"/>
    <w:rsid w:val="64D23FBA"/>
    <w:rsid w:val="69430DBD"/>
    <w:rsid w:val="6A81470A"/>
    <w:rsid w:val="6AA42F83"/>
    <w:rsid w:val="6D891ABD"/>
    <w:rsid w:val="6E60228D"/>
    <w:rsid w:val="70310109"/>
    <w:rsid w:val="707225AE"/>
    <w:rsid w:val="70A77CBB"/>
    <w:rsid w:val="71B71BD4"/>
    <w:rsid w:val="71C13613"/>
    <w:rsid w:val="72191362"/>
    <w:rsid w:val="722A241C"/>
    <w:rsid w:val="732C4B81"/>
    <w:rsid w:val="743B4D3E"/>
    <w:rsid w:val="7447614D"/>
    <w:rsid w:val="76EB292D"/>
    <w:rsid w:val="774F648F"/>
    <w:rsid w:val="78AF03B2"/>
    <w:rsid w:val="7A5E7DB1"/>
    <w:rsid w:val="7A8C6D1C"/>
    <w:rsid w:val="7B3F192C"/>
    <w:rsid w:val="7C7E02B2"/>
    <w:rsid w:val="7EC81C39"/>
    <w:rsid w:val="7F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1354</Words>
  <Characters>1445</Characters>
  <Lines>7</Lines>
  <Paragraphs>2</Paragraphs>
  <TotalTime>15</TotalTime>
  <ScaleCrop>false</ScaleCrop>
  <LinksUpToDate>false</LinksUpToDate>
  <CharactersWithSpaces>1447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2024-11-21T09:13:00Z</dcterms:created>
  <dc:creator>徐嘉潞</dc:creator>
  <cp:lastModifiedBy>徐嘉潞</cp:lastModifiedBy>
  <dcterms:modified xsi:type="dcterms:W3CDTF">2025-06-11T08:06:25Z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C8F8541CC8D7438D8C5EC6B048495BD2_13</vt:lpwstr>
  </property>
  <property fmtid="{D5CDD505-2E9C-101B-9397-08002B2CF9AE}" pid="4" name="GrammarlyDocumentId">
    <vt:lpwstr>7dbdc603adc7f3ee5f46b111ead19355d767abf7410191a1bfe6aa2606963c4c</vt:lpwstr>
  </property>
  <property fmtid="{D5CDD505-2E9C-101B-9397-08002B2CF9AE}" pid="5" name="KSOTemplateDocerSaveRecord">
    <vt:lpwstr>eyJoZGlkIjoiMjNlNzJhYjdmNWM5YjYxZGQ5NGZiMDA5MGM5NmM5NDMiLCJ1c2VySWQiOiIxNjM5MTI0NzA2In0=</vt:lpwstr>
  </property>
</Properties>
</file>