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34B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sz w:val="36"/>
          <w:szCs w:val="36"/>
        </w:rPr>
      </w:pPr>
      <w:r>
        <w:rPr>
          <w:sz w:val="36"/>
          <w:szCs w:val="36"/>
        </w:rPr>
        <w:t>食堂有害生物消杀服务项目市场询价公告</w:t>
      </w:r>
    </w:p>
    <w:p w14:paraId="09ECF2E7"/>
    <w:p w14:paraId="5D0FF22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lang w:val="en-US" w:eastAsia="zh-CN"/>
        </w:rPr>
        <w:t>江西师范大学后勤产业发展有限公司现就食堂有害生物消杀服务项目面向社会开展市场询价，欢迎符合资格条件的服务商参与报价。</w:t>
      </w:r>
    </w:p>
    <w:p w14:paraId="40A8CB79">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420" w:leftChars="0" w:right="0" w:firstLineChars="0"/>
        <w:jc w:val="left"/>
        <w:textAlignment w:val="auto"/>
        <w:rPr>
          <w:sz w:val="24"/>
          <w:szCs w:val="24"/>
        </w:rPr>
      </w:pPr>
      <w:r>
        <w:rPr>
          <w:sz w:val="24"/>
          <w:szCs w:val="24"/>
        </w:rPr>
        <w:t>服务项目明细</w:t>
      </w:r>
    </w:p>
    <w:tbl>
      <w:tblPr>
        <w:tblStyle w:val="5"/>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7625"/>
      </w:tblGrid>
      <w:tr w14:paraId="78600E86">
        <w:trPr>
          <w:jc w:val="center"/>
        </w:trPr>
        <w:tc>
          <w:tcPr>
            <w:tcW w:w="1624" w:type="dxa"/>
            <w:vAlign w:val="center"/>
          </w:tcPr>
          <w:p w14:paraId="01D65B7F">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w w:val="90"/>
                <w:sz w:val="24"/>
                <w:szCs w:val="24"/>
                <w:vertAlign w:val="baseline"/>
              </w:rPr>
            </w:pPr>
            <w:r>
              <w:rPr>
                <w:rFonts w:ascii="宋体" w:hAnsi="宋体" w:eastAsia="宋体" w:cs="宋体"/>
                <w:b/>
                <w:bCs/>
                <w:w w:val="90"/>
                <w:kern w:val="0"/>
                <w:sz w:val="24"/>
                <w:szCs w:val="24"/>
                <w:lang w:val="en-US" w:eastAsia="zh-CN" w:bidi="ar"/>
              </w:rPr>
              <w:t>服务项目</w:t>
            </w:r>
          </w:p>
        </w:tc>
        <w:tc>
          <w:tcPr>
            <w:tcW w:w="7625" w:type="dxa"/>
          </w:tcPr>
          <w:p w14:paraId="0D94D1CE">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w w:val="90"/>
                <w:sz w:val="24"/>
                <w:szCs w:val="24"/>
                <w:vertAlign w:val="baseline"/>
              </w:rPr>
            </w:pPr>
            <w:r>
              <w:rPr>
                <w:w w:val="90"/>
                <w:sz w:val="24"/>
                <w:szCs w:val="24"/>
                <w:lang w:val="en-US" w:eastAsia="zh-CN"/>
              </w:rPr>
              <w:t>食堂有害生物消杀服务</w:t>
            </w:r>
          </w:p>
        </w:tc>
      </w:tr>
      <w:tr w14:paraId="234092F0">
        <w:trPr>
          <w:jc w:val="center"/>
        </w:trPr>
        <w:tc>
          <w:tcPr>
            <w:tcW w:w="1624" w:type="dxa"/>
            <w:vAlign w:val="center"/>
          </w:tcPr>
          <w:p w14:paraId="0E1E57CC">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ascii="宋体" w:hAnsi="宋体" w:eastAsia="宋体" w:cs="宋体"/>
                <w:b/>
                <w:bCs/>
                <w:w w:val="90"/>
                <w:kern w:val="0"/>
                <w:sz w:val="24"/>
                <w:szCs w:val="24"/>
                <w:lang w:val="en-US" w:eastAsia="zh-CN" w:bidi="ar"/>
              </w:rPr>
            </w:pPr>
            <w:r>
              <w:rPr>
                <w:rFonts w:ascii="宋体" w:hAnsi="宋体" w:eastAsia="宋体" w:cs="宋体"/>
                <w:b/>
                <w:bCs/>
                <w:w w:val="90"/>
                <w:kern w:val="0"/>
                <w:sz w:val="24"/>
                <w:szCs w:val="24"/>
                <w:lang w:val="en-US" w:eastAsia="zh-CN" w:bidi="ar"/>
              </w:rPr>
              <w:t>服务范围</w:t>
            </w:r>
          </w:p>
          <w:p w14:paraId="4A1B7D21">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w w:val="90"/>
                <w:sz w:val="24"/>
                <w:szCs w:val="24"/>
                <w:vertAlign w:val="baseline"/>
              </w:rPr>
            </w:pPr>
            <w:r>
              <w:rPr>
                <w:rFonts w:ascii="宋体" w:hAnsi="宋体" w:eastAsia="宋体" w:cs="宋体"/>
                <w:b/>
                <w:bCs/>
                <w:w w:val="90"/>
                <w:kern w:val="0"/>
                <w:sz w:val="24"/>
                <w:szCs w:val="24"/>
                <w:lang w:val="en-US" w:eastAsia="zh-CN" w:bidi="ar"/>
              </w:rPr>
              <w:t>及内容</w:t>
            </w:r>
          </w:p>
        </w:tc>
        <w:tc>
          <w:tcPr>
            <w:tcW w:w="7625" w:type="dxa"/>
          </w:tcPr>
          <w:p w14:paraId="3C5B7772">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w w:val="90"/>
                <w:sz w:val="24"/>
                <w:szCs w:val="24"/>
                <w:vertAlign w:val="baseline"/>
              </w:rPr>
            </w:pPr>
            <w:r>
              <w:rPr>
                <w:w w:val="90"/>
                <w:sz w:val="24"/>
                <w:szCs w:val="24"/>
                <w:lang w:val="en-US" w:eastAsia="zh-CN"/>
              </w:rPr>
              <w:t>教工食堂、长胜园三食堂一楼、一食堂二楼全域消杀</w:t>
            </w:r>
            <w:r>
              <w:rPr>
                <w:rFonts w:hint="eastAsia"/>
                <w:w w:val="90"/>
                <w:sz w:val="24"/>
                <w:szCs w:val="24"/>
                <w:lang w:val="en-US" w:eastAsia="zh-CN"/>
              </w:rPr>
              <w:t>（</w:t>
            </w:r>
            <w:r>
              <w:rPr>
                <w:rFonts w:hint="eastAsia"/>
                <w:lang w:val="en-US" w:eastAsia="zh-CN"/>
              </w:rPr>
              <w:t>截至2027年1月底</w:t>
            </w:r>
            <w:r>
              <w:rPr>
                <w:rFonts w:hint="eastAsia"/>
                <w:w w:val="90"/>
                <w:sz w:val="24"/>
                <w:szCs w:val="24"/>
                <w:lang w:val="en-US" w:eastAsia="zh-CN"/>
              </w:rPr>
              <w:t>）</w:t>
            </w:r>
            <w:r>
              <w:rPr>
                <w:w w:val="90"/>
                <w:sz w:val="24"/>
                <w:szCs w:val="24"/>
                <w:lang w:val="en-US" w:eastAsia="zh-CN"/>
              </w:rPr>
              <w:t>，针对蚊、蝇、蟑螂、老鼠开展综合防治；全年消杀 12 次，按月上门作业</w:t>
            </w:r>
          </w:p>
        </w:tc>
      </w:tr>
      <w:tr w14:paraId="73B63CB1">
        <w:trPr>
          <w:jc w:val="center"/>
        </w:trPr>
        <w:tc>
          <w:tcPr>
            <w:tcW w:w="1624" w:type="dxa"/>
            <w:vAlign w:val="center"/>
          </w:tcPr>
          <w:p w14:paraId="189FF178">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w w:val="90"/>
                <w:sz w:val="24"/>
                <w:szCs w:val="24"/>
                <w:vertAlign w:val="baseline"/>
              </w:rPr>
            </w:pPr>
            <w:r>
              <w:rPr>
                <w:rFonts w:ascii="宋体" w:hAnsi="宋体" w:eastAsia="宋体" w:cs="宋体"/>
                <w:b/>
                <w:bCs/>
                <w:w w:val="90"/>
                <w:kern w:val="0"/>
                <w:sz w:val="24"/>
                <w:szCs w:val="24"/>
                <w:lang w:val="en-US" w:eastAsia="zh-CN" w:bidi="ar"/>
              </w:rPr>
              <w:t>服务周期要求</w:t>
            </w:r>
          </w:p>
        </w:tc>
        <w:tc>
          <w:tcPr>
            <w:tcW w:w="7625" w:type="dxa"/>
          </w:tcPr>
          <w:p w14:paraId="52AEA7D7">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w w:val="90"/>
                <w:sz w:val="24"/>
                <w:szCs w:val="24"/>
                <w:vertAlign w:val="baseline"/>
              </w:rPr>
            </w:pPr>
            <w:r>
              <w:rPr>
                <w:w w:val="90"/>
                <w:sz w:val="24"/>
                <w:szCs w:val="24"/>
                <w:lang w:val="en-US" w:eastAsia="zh-CN"/>
              </w:rPr>
              <w:t>服务期限：2026年8月20日—2028年8月19日</w:t>
            </w:r>
            <w:r>
              <w:rPr>
                <w:rFonts w:hint="eastAsia"/>
                <w:w w:val="90"/>
                <w:sz w:val="24"/>
                <w:szCs w:val="24"/>
                <w:lang w:val="en-US" w:eastAsia="zh-CN"/>
              </w:rPr>
              <w:t>，</w:t>
            </w:r>
            <w:r>
              <w:rPr>
                <w:w w:val="90"/>
                <w:sz w:val="24"/>
                <w:szCs w:val="24"/>
                <w:lang w:val="en-US" w:eastAsia="zh-CN"/>
              </w:rPr>
              <w:t>共计2年</w:t>
            </w:r>
          </w:p>
        </w:tc>
      </w:tr>
      <w:tr w14:paraId="1EDA22A9">
        <w:trPr>
          <w:jc w:val="center"/>
        </w:trPr>
        <w:tc>
          <w:tcPr>
            <w:tcW w:w="1624" w:type="dxa"/>
            <w:vAlign w:val="center"/>
          </w:tcPr>
          <w:p w14:paraId="28A1E5D8">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w w:val="90"/>
                <w:sz w:val="24"/>
                <w:szCs w:val="24"/>
                <w:vertAlign w:val="baseline"/>
              </w:rPr>
            </w:pPr>
            <w:r>
              <w:rPr>
                <w:rFonts w:ascii="宋体" w:hAnsi="宋体" w:eastAsia="宋体" w:cs="宋体"/>
                <w:b/>
                <w:bCs/>
                <w:w w:val="90"/>
                <w:kern w:val="0"/>
                <w:sz w:val="24"/>
                <w:szCs w:val="24"/>
                <w:lang w:val="en-US" w:eastAsia="zh-CN" w:bidi="ar"/>
              </w:rPr>
              <w:t>配套服务标准</w:t>
            </w:r>
          </w:p>
        </w:tc>
        <w:tc>
          <w:tcPr>
            <w:tcW w:w="7625" w:type="dxa"/>
          </w:tcPr>
          <w:p w14:paraId="0103564C">
            <w:pPr>
              <w:keepNext w:val="0"/>
              <w:keepLines w:val="0"/>
              <w:pageBreakBefore w:val="0"/>
              <w:numPr>
                <w:ilvl w:val="0"/>
                <w:numId w:val="2"/>
              </w:numPr>
              <w:kinsoku/>
              <w:wordWrap/>
              <w:overflowPunct/>
              <w:topLinePunct w:val="0"/>
              <w:autoSpaceDE/>
              <w:autoSpaceDN/>
              <w:bidi w:val="0"/>
              <w:adjustRightInd/>
              <w:snapToGrid/>
              <w:spacing w:line="440" w:lineRule="exact"/>
              <w:textAlignment w:val="auto"/>
              <w:rPr>
                <w:w w:val="90"/>
                <w:sz w:val="24"/>
                <w:szCs w:val="24"/>
                <w:lang w:val="en-US" w:eastAsia="zh-CN"/>
              </w:rPr>
            </w:pPr>
            <w:r>
              <w:rPr>
                <w:w w:val="90"/>
                <w:sz w:val="24"/>
                <w:szCs w:val="24"/>
                <w:lang w:val="en-US" w:eastAsia="zh-CN"/>
              </w:rPr>
              <w:t>每次消杀完成后同步提交现场消杀记录、作业实拍图片存档；</w:t>
            </w:r>
          </w:p>
          <w:p w14:paraId="3F9C4265">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w w:val="90"/>
                <w:sz w:val="24"/>
                <w:szCs w:val="24"/>
                <w:lang w:val="en-US" w:eastAsia="zh-CN"/>
              </w:rPr>
            </w:pPr>
            <w:r>
              <w:rPr>
                <w:w w:val="90"/>
                <w:sz w:val="24"/>
                <w:szCs w:val="24"/>
                <w:lang w:val="en-US" w:eastAsia="zh-CN"/>
              </w:rPr>
              <w:t>使用药品符合餐饮场所食品安全消杀标准，无残留、无异味、不污染食材餐具；</w:t>
            </w:r>
          </w:p>
          <w:p w14:paraId="023E23DE">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w w:val="90"/>
                <w:sz w:val="24"/>
                <w:szCs w:val="24"/>
                <w:lang w:val="en-US" w:eastAsia="zh-CN"/>
              </w:rPr>
            </w:pPr>
            <w:r>
              <w:rPr>
                <w:w w:val="90"/>
                <w:sz w:val="24"/>
                <w:szCs w:val="24"/>
                <w:lang w:val="en-US" w:eastAsia="zh-CN"/>
              </w:rPr>
              <w:t>定期回访监测虫害密度，虫害超标免费追加补杀；</w:t>
            </w:r>
          </w:p>
          <w:p w14:paraId="3E885C19">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w w:val="90"/>
                <w:sz w:val="24"/>
                <w:szCs w:val="24"/>
                <w:lang w:val="en-US" w:eastAsia="zh-CN"/>
              </w:rPr>
            </w:pPr>
            <w:r>
              <w:rPr>
                <w:w w:val="90"/>
                <w:sz w:val="24"/>
                <w:szCs w:val="24"/>
                <w:lang w:val="en-US" w:eastAsia="zh-CN"/>
              </w:rPr>
              <w:t>建立专属消杀台账，配合学校食品安全检查；</w:t>
            </w:r>
          </w:p>
          <w:p w14:paraId="43EC0762">
            <w:pPr>
              <w:keepNext w:val="0"/>
              <w:keepLines w:val="0"/>
              <w:pageBreakBefore w:val="0"/>
              <w:numPr>
                <w:ilvl w:val="0"/>
                <w:numId w:val="0"/>
              </w:numPr>
              <w:kinsoku/>
              <w:wordWrap/>
              <w:overflowPunct/>
              <w:topLinePunct w:val="0"/>
              <w:autoSpaceDE/>
              <w:autoSpaceDN/>
              <w:bidi w:val="0"/>
              <w:adjustRightInd/>
              <w:snapToGrid/>
              <w:spacing w:line="440" w:lineRule="exact"/>
              <w:ind w:leftChars="0"/>
              <w:textAlignment w:val="auto"/>
              <w:rPr>
                <w:w w:val="90"/>
                <w:sz w:val="24"/>
                <w:szCs w:val="24"/>
                <w:vertAlign w:val="baseline"/>
              </w:rPr>
            </w:pPr>
            <w:r>
              <w:rPr>
                <w:w w:val="90"/>
                <w:sz w:val="24"/>
                <w:szCs w:val="24"/>
                <w:lang w:val="en-US" w:eastAsia="zh-CN"/>
              </w:rPr>
              <w:t>5. 作业人员持证上岗，穿戴规范防护工具</w:t>
            </w:r>
          </w:p>
        </w:tc>
      </w:tr>
    </w:tbl>
    <w:p w14:paraId="19CDB26F">
      <w:pPr>
        <w:keepNext w:val="0"/>
        <w:keepLines w:val="0"/>
        <w:pageBreakBefore w:val="0"/>
        <w:kinsoku/>
        <w:wordWrap/>
        <w:overflowPunct/>
        <w:topLinePunct w:val="0"/>
        <w:autoSpaceDE/>
        <w:autoSpaceDN/>
        <w:bidi w:val="0"/>
        <w:adjustRightInd/>
        <w:snapToGrid/>
        <w:spacing w:line="440" w:lineRule="exact"/>
        <w:ind w:firstLine="482" w:firstLineChars="200"/>
        <w:jc w:val="left"/>
        <w:textAlignment w:val="auto"/>
        <w:rPr>
          <w:b/>
          <w:bCs/>
          <w:sz w:val="24"/>
          <w:szCs w:val="24"/>
        </w:rPr>
      </w:pPr>
      <w:r>
        <w:rPr>
          <w:b/>
          <w:bCs/>
          <w:sz w:val="24"/>
          <w:szCs w:val="24"/>
        </w:rPr>
        <w:t>二、报价截止时间及材料要求</w:t>
      </w:r>
    </w:p>
    <w:p w14:paraId="2A385934">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lang w:val="en-US" w:eastAsia="zh-CN"/>
        </w:rPr>
      </w:pPr>
      <w:r>
        <w:rPr>
          <w:sz w:val="24"/>
          <w:szCs w:val="24"/>
          <w:lang w:val="en-US" w:eastAsia="zh-CN"/>
        </w:rPr>
        <w:t>（一）报价递交方式：有意向单位可现场递交或快递报送报价资料，报价截止时间：2026 年</w:t>
      </w:r>
      <w:r>
        <w:rPr>
          <w:rFonts w:hint="eastAsia"/>
          <w:sz w:val="24"/>
          <w:szCs w:val="24"/>
          <w:lang w:val="en-US" w:eastAsia="zh-CN"/>
        </w:rPr>
        <w:t>8</w:t>
      </w:r>
      <w:r>
        <w:rPr>
          <w:sz w:val="24"/>
          <w:szCs w:val="24"/>
          <w:lang w:val="en-US" w:eastAsia="zh-CN"/>
        </w:rPr>
        <w:t>月</w:t>
      </w:r>
      <w:r>
        <w:rPr>
          <w:rFonts w:hint="eastAsia"/>
          <w:sz w:val="24"/>
          <w:szCs w:val="24"/>
          <w:lang w:val="en-US" w:eastAsia="zh-CN"/>
        </w:rPr>
        <w:t>11</w:t>
      </w:r>
      <w:r>
        <w:rPr>
          <w:sz w:val="24"/>
          <w:szCs w:val="24"/>
          <w:lang w:val="en-US" w:eastAsia="zh-CN"/>
        </w:rPr>
        <w:t>日</w:t>
      </w:r>
      <w:r>
        <w:rPr>
          <w:rFonts w:hint="eastAsia"/>
          <w:sz w:val="24"/>
          <w:szCs w:val="24"/>
          <w:lang w:val="en-US" w:eastAsia="zh-CN"/>
        </w:rPr>
        <w:t>12</w:t>
      </w:r>
      <w:r>
        <w:rPr>
          <w:sz w:val="24"/>
          <w:szCs w:val="24"/>
          <w:lang w:val="en-US" w:eastAsia="zh-CN"/>
        </w:rPr>
        <w:t xml:space="preserve">点00分（北京时间），逾期送达视为无效报价。 </w:t>
      </w:r>
    </w:p>
    <w:p w14:paraId="288EBC32">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lang w:val="en-US" w:eastAsia="zh-CN"/>
        </w:rPr>
        <w:t>（二）报价材料要求：全套材料为 A4 规格复印件一份，封面及全部内页加盖单位公章，报价表单独密封报送，整套资料包含：</w:t>
      </w:r>
    </w:p>
    <w:p w14:paraId="7CF11FE4">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企业法人营业执照复印件加盖公章，经营范围须包含有害生物防治、消杀服务、虫害治理等相关经营类目；</w:t>
      </w:r>
    </w:p>
    <w:p w14:paraId="5B3A3635">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企业法定代表人身份证复印件加盖公章；</w:t>
      </w:r>
    </w:p>
    <w:p w14:paraId="3558A632">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法定代表人授权书原件（若报价经办人是法定代表人本人，无需提供）；</w:t>
      </w:r>
    </w:p>
    <w:p w14:paraId="13CE95B6">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食堂有害生物消杀服务报价表（单独密封，列明年度服务费、2年总价、药剂、人工、耗材、回访、应急补杀等全部费用）；</w:t>
      </w:r>
    </w:p>
    <w:p w14:paraId="5EBFE262">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服务商电子邮箱、业务联系人、联系电话；</w:t>
      </w:r>
    </w:p>
    <w:p w14:paraId="4E5336B7">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服务商有害生物防治资质证书、消杀药剂合规检测报告复印件加盖公章；</w:t>
      </w:r>
    </w:p>
    <w:p w14:paraId="09B9475E">
      <w:pPr>
        <w:keepNext w:val="0"/>
        <w:keepLines w:val="0"/>
        <w:pageBreakBefore w:val="0"/>
        <w:numPr>
          <w:ilvl w:val="0"/>
          <w:numId w:val="3"/>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对公银行账户信息（开户名称、开户行、银行账号，用于结算付款）。</w:t>
      </w:r>
    </w:p>
    <w:p w14:paraId="0123C2AE">
      <w:pPr>
        <w:keepNext w:val="0"/>
        <w:keepLines w:val="0"/>
        <w:pageBreakBefore w:val="0"/>
        <w:kinsoku/>
        <w:wordWrap/>
        <w:overflowPunct/>
        <w:topLinePunct w:val="0"/>
        <w:autoSpaceDE/>
        <w:autoSpaceDN/>
        <w:bidi w:val="0"/>
        <w:adjustRightInd/>
        <w:snapToGrid/>
        <w:spacing w:line="440" w:lineRule="exact"/>
        <w:ind w:firstLine="482" w:firstLineChars="200"/>
        <w:jc w:val="left"/>
        <w:textAlignment w:val="auto"/>
        <w:rPr>
          <w:b/>
          <w:bCs/>
          <w:sz w:val="24"/>
          <w:szCs w:val="24"/>
        </w:rPr>
      </w:pPr>
      <w:r>
        <w:rPr>
          <w:b/>
          <w:bCs/>
          <w:sz w:val="24"/>
          <w:szCs w:val="24"/>
        </w:rPr>
        <w:t>三、服务与质量要求</w:t>
      </w:r>
    </w:p>
    <w:p w14:paraId="143E9C9B">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服务商具备正规有害生物防治经营资质，消杀药剂具备国家农药登记证，适配餐饮食堂经营场景，严禁使用高毒、高残留药剂；</w:t>
      </w:r>
    </w:p>
    <w:p w14:paraId="590606E0">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每月按约定时间上门开展全区域标准化消杀，覆盖后厨、就餐区、仓库、下水道、排水沟、门窗缝隙、通风管道、库房角落等虫害重点滋生点位；</w:t>
      </w:r>
    </w:p>
    <w:p w14:paraId="0EBE9502">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每次作业完成当日提供纸质 + 电子版消杀记录表、现场作业照片，完整记录消杀区域、药剂名称、用量、作业人员、作业时间；</w:t>
      </w:r>
    </w:p>
    <w:p w14:paraId="2EC2925C">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服务期内免费开展虫害密度监测回访，如食堂蚊蝇鼠蟑密度超标，</w:t>
      </w:r>
      <w:r>
        <w:rPr>
          <w:rFonts w:hint="eastAsia"/>
          <w:sz w:val="24"/>
          <w:szCs w:val="24"/>
          <w:lang w:val="en-US" w:eastAsia="zh-CN"/>
        </w:rPr>
        <w:t>2</w:t>
      </w:r>
      <w:r>
        <w:rPr>
          <w:sz w:val="24"/>
          <w:szCs w:val="24"/>
        </w:rPr>
        <w:t>小时内上门免费补杀，不额外收取任何费用；</w:t>
      </w:r>
    </w:p>
    <w:p w14:paraId="76EFD216">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服务过程全程做好食材、厨具防护，作业后清理消杀垃圾，避免药剂污染食品加工区域；</w:t>
      </w:r>
    </w:p>
    <w:p w14:paraId="5151D936">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本项目2年服务总预算控制金额：</w:t>
      </w:r>
      <w:r>
        <w:rPr>
          <w:rFonts w:hint="eastAsia"/>
          <w:sz w:val="24"/>
          <w:szCs w:val="24"/>
          <w:lang w:val="en-US" w:eastAsia="zh-CN"/>
        </w:rPr>
        <w:t>9</w:t>
      </w:r>
      <w:r>
        <w:rPr>
          <w:sz w:val="24"/>
          <w:szCs w:val="24"/>
        </w:rPr>
        <w:t>0</w:t>
      </w:r>
      <w:bookmarkStart w:id="0" w:name="_GoBack"/>
      <w:bookmarkEnd w:id="0"/>
      <w:r>
        <w:rPr>
          <w:sz w:val="24"/>
          <w:szCs w:val="24"/>
        </w:rPr>
        <w:t>00元，本次询价采用低价评审方式，在完全满足消杀规格、药品标准、配套服务要求前提下，选取总报价最低的服务商作为成交单位；</w:t>
      </w:r>
    </w:p>
    <w:p w14:paraId="1460A9B6">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总报价包含药剂、人工、工具耗材、月度上门、应急补杀、档案资料、税费、2 年全程售后等全部费用，采购人不另行支付其他费用；</w:t>
      </w:r>
    </w:p>
    <w:p w14:paraId="4962A9E2">
      <w:pPr>
        <w:keepNext w:val="0"/>
        <w:keepLines w:val="0"/>
        <w:pageBreakBefore w:val="0"/>
        <w:numPr>
          <w:ilvl w:val="0"/>
          <w:numId w:val="4"/>
        </w:numPr>
        <w:kinsoku/>
        <w:wordWrap/>
        <w:overflowPunct/>
        <w:topLinePunct w:val="0"/>
        <w:autoSpaceDE/>
        <w:autoSpaceDN/>
        <w:bidi w:val="0"/>
        <w:adjustRightInd/>
        <w:snapToGrid/>
        <w:spacing w:line="440" w:lineRule="exact"/>
        <w:ind w:left="425" w:leftChars="0" w:firstLine="415" w:firstLineChars="0"/>
        <w:jc w:val="left"/>
        <w:textAlignment w:val="auto"/>
        <w:rPr>
          <w:sz w:val="24"/>
          <w:szCs w:val="24"/>
        </w:rPr>
      </w:pPr>
      <w:r>
        <w:rPr>
          <w:sz w:val="24"/>
          <w:szCs w:val="24"/>
        </w:rPr>
        <w:t>结算方式：公对公银行转账，成交服务商需按合同约定开具正规增值税发票，采购人仅对公账户支付服务费，不接受现金、微信、支付宝、私人账户转账等其他付款方式。</w:t>
      </w:r>
    </w:p>
    <w:p w14:paraId="0EB43C8C">
      <w:pPr>
        <w:keepNext w:val="0"/>
        <w:keepLines w:val="0"/>
        <w:pageBreakBefore w:val="0"/>
        <w:kinsoku/>
        <w:wordWrap/>
        <w:overflowPunct/>
        <w:topLinePunct w:val="0"/>
        <w:autoSpaceDE/>
        <w:autoSpaceDN/>
        <w:bidi w:val="0"/>
        <w:adjustRightInd/>
        <w:snapToGrid/>
        <w:spacing w:line="440" w:lineRule="exact"/>
        <w:jc w:val="left"/>
        <w:textAlignment w:val="auto"/>
        <w:rPr>
          <w:b/>
          <w:bCs/>
          <w:sz w:val="24"/>
          <w:szCs w:val="24"/>
        </w:rPr>
      </w:pPr>
      <w:r>
        <w:rPr>
          <w:b/>
          <w:bCs/>
          <w:sz w:val="24"/>
          <w:szCs w:val="24"/>
        </w:rPr>
        <w:t>四、资料接收信息</w:t>
      </w:r>
    </w:p>
    <w:p w14:paraId="6863D03A">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lang w:val="en-US" w:eastAsia="zh-CN"/>
        </w:rPr>
      </w:pPr>
      <w:r>
        <w:rPr>
          <w:sz w:val="24"/>
          <w:szCs w:val="24"/>
          <w:lang w:val="en-US" w:eastAsia="zh-CN"/>
        </w:rPr>
        <w:t xml:space="preserve">接收人：徐老师 联系电话：17897910081 </w:t>
      </w:r>
    </w:p>
    <w:p w14:paraId="6ED35784">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lang w:val="en-US" w:eastAsia="zh-CN"/>
        </w:rPr>
        <w:t>地址：江西省南昌市紫阳大道99号江西师范大学</w:t>
      </w:r>
    </w:p>
    <w:p w14:paraId="432DC475">
      <w:pPr>
        <w:keepNext w:val="0"/>
        <w:keepLines w:val="0"/>
        <w:pageBreakBefore w:val="0"/>
        <w:kinsoku/>
        <w:wordWrap/>
        <w:overflowPunct/>
        <w:topLinePunct w:val="0"/>
        <w:autoSpaceDE/>
        <w:autoSpaceDN/>
        <w:bidi w:val="0"/>
        <w:adjustRightInd/>
        <w:snapToGrid/>
        <w:spacing w:line="440" w:lineRule="exact"/>
        <w:jc w:val="left"/>
        <w:textAlignment w:val="auto"/>
        <w:rPr>
          <w:b/>
          <w:bCs/>
          <w:sz w:val="24"/>
          <w:szCs w:val="24"/>
        </w:rPr>
      </w:pPr>
      <w:r>
        <w:rPr>
          <w:b/>
          <w:bCs/>
          <w:sz w:val="24"/>
          <w:szCs w:val="24"/>
        </w:rPr>
        <w:t>五、其他备注</w:t>
      </w:r>
    </w:p>
    <w:p w14:paraId="26B8C754">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所有提交报价资料每页均须加盖单位公章，资料缺失、资质不全、未加盖公章、密封不规范均视为无效报价；</w:t>
      </w:r>
    </w:p>
    <w:p w14:paraId="6A8045F8">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报价单位可提前踏勘各食堂消杀点位，充分核算药剂、人工、交通、售后等全部成本，报价一经提交不作调整；</w:t>
      </w:r>
    </w:p>
    <w:p w14:paraId="6A54CB17">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成交服务商须在接到成交通知后3个工作日内签订服务合同，于2026年8月20日前正式启动首次消杀作业；</w:t>
      </w:r>
    </w:p>
    <w:p w14:paraId="53974D9E">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服务商须提供完整对公账户信息，无法提供对公账户的单位取消成交资格。</w:t>
      </w:r>
    </w:p>
    <w:p w14:paraId="0352EF09">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sz w:val="24"/>
          <w:szCs w:val="24"/>
        </w:rPr>
      </w:pPr>
    </w:p>
    <w:p w14:paraId="5DC58807">
      <w:pPr>
        <w:keepNext w:val="0"/>
        <w:keepLines w:val="0"/>
        <w:pageBreakBefore w:val="0"/>
        <w:kinsoku/>
        <w:wordWrap/>
        <w:overflowPunct/>
        <w:topLinePunct w:val="0"/>
        <w:autoSpaceDE/>
        <w:autoSpaceDN/>
        <w:bidi w:val="0"/>
        <w:adjustRightInd/>
        <w:snapToGrid/>
        <w:spacing w:line="440" w:lineRule="exact"/>
        <w:jc w:val="right"/>
        <w:textAlignment w:val="auto"/>
        <w:rPr>
          <w:sz w:val="24"/>
          <w:szCs w:val="24"/>
          <w:lang w:val="en-US" w:eastAsia="zh-CN"/>
        </w:rPr>
      </w:pPr>
      <w:r>
        <w:rPr>
          <w:sz w:val="24"/>
          <w:szCs w:val="24"/>
          <w:lang w:val="en-US" w:eastAsia="zh-CN"/>
        </w:rPr>
        <w:t>江西师范大学后勤产业发展有限公司</w:t>
      </w:r>
    </w:p>
    <w:p w14:paraId="0D3DA3A6">
      <w:pPr>
        <w:keepNext w:val="0"/>
        <w:keepLines w:val="0"/>
        <w:pageBreakBefore w:val="0"/>
        <w:kinsoku/>
        <w:wordWrap/>
        <w:overflowPunct/>
        <w:topLinePunct w:val="0"/>
        <w:autoSpaceDE/>
        <w:autoSpaceDN/>
        <w:bidi w:val="0"/>
        <w:adjustRightInd/>
        <w:snapToGrid/>
        <w:spacing w:line="440" w:lineRule="exact"/>
        <w:jc w:val="right"/>
        <w:textAlignment w:val="auto"/>
        <w:rPr>
          <w:sz w:val="24"/>
          <w:szCs w:val="24"/>
        </w:rPr>
      </w:pPr>
      <w:r>
        <w:rPr>
          <w:sz w:val="24"/>
          <w:szCs w:val="24"/>
          <w:lang w:val="en-US" w:eastAsia="zh-CN"/>
        </w:rPr>
        <w:t>2026年</w:t>
      </w:r>
      <w:r>
        <w:rPr>
          <w:rFonts w:hint="eastAsia"/>
          <w:sz w:val="24"/>
          <w:szCs w:val="24"/>
          <w:lang w:val="en-US" w:eastAsia="zh-CN"/>
        </w:rPr>
        <w:t>8</w:t>
      </w:r>
      <w:r>
        <w:rPr>
          <w:sz w:val="24"/>
          <w:szCs w:val="24"/>
          <w:lang w:val="en-US" w:eastAsia="zh-CN"/>
        </w:rPr>
        <w:t>月</w:t>
      </w:r>
      <w:r>
        <w:rPr>
          <w:rFonts w:hint="eastAsia"/>
          <w:sz w:val="24"/>
          <w:szCs w:val="24"/>
          <w:lang w:val="en-US" w:eastAsia="zh-CN"/>
        </w:rPr>
        <w:t>6</w:t>
      </w:r>
      <w:r>
        <w:rPr>
          <w:sz w:val="24"/>
          <w:szCs w:val="24"/>
          <w:lang w:val="en-US" w:eastAsia="zh-CN"/>
        </w:rPr>
        <w:t>日</w:t>
      </w:r>
    </w:p>
    <w:p w14:paraId="529D62E9"/>
    <w:sectPr>
      <w:pgSz w:w="11906" w:h="16838"/>
      <w:pgMar w:top="102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EAD4D"/>
    <w:multiLevelType w:val="singleLevel"/>
    <w:tmpl w:val="8FCEAD4D"/>
    <w:lvl w:ilvl="0" w:tentative="0">
      <w:start w:val="1"/>
      <w:numFmt w:val="chineseCounting"/>
      <w:suff w:val="nothing"/>
      <w:lvlText w:val="%1、"/>
      <w:lvlJc w:val="left"/>
      <w:pPr>
        <w:ind w:left="420"/>
      </w:pPr>
      <w:rPr>
        <w:rFonts w:hint="eastAsia"/>
      </w:rPr>
    </w:lvl>
  </w:abstractNum>
  <w:abstractNum w:abstractNumId="1">
    <w:nsid w:val="BBF7F30B"/>
    <w:multiLevelType w:val="singleLevel"/>
    <w:tmpl w:val="BBF7F30B"/>
    <w:lvl w:ilvl="0" w:tentative="0">
      <w:start w:val="1"/>
      <w:numFmt w:val="decimal"/>
      <w:lvlText w:val="%1."/>
      <w:lvlJc w:val="left"/>
      <w:pPr>
        <w:ind w:left="425" w:hanging="425"/>
      </w:pPr>
      <w:rPr>
        <w:rFonts w:hint="default"/>
      </w:rPr>
    </w:lvl>
  </w:abstractNum>
  <w:abstractNum w:abstractNumId="2">
    <w:nsid w:val="E3BEA357"/>
    <w:multiLevelType w:val="singleLevel"/>
    <w:tmpl w:val="E3BEA357"/>
    <w:lvl w:ilvl="0" w:tentative="0">
      <w:start w:val="1"/>
      <w:numFmt w:val="decimal"/>
      <w:suff w:val="space"/>
      <w:lvlText w:val="%1."/>
      <w:lvlJc w:val="left"/>
    </w:lvl>
  </w:abstractNum>
  <w:abstractNum w:abstractNumId="3">
    <w:nsid w:val="EF7334BE"/>
    <w:multiLevelType w:val="singleLevel"/>
    <w:tmpl w:val="EF7334BE"/>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F1B55"/>
    <w:rsid w:val="36FF29B9"/>
    <w:rsid w:val="6FEF1B55"/>
    <w:rsid w:val="7ADF0F02"/>
    <w:rsid w:val="7B77C685"/>
    <w:rsid w:val="CFF9D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35</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2026-08-04T23:31:00Z</dcterms:created>
  <dc:creator>翁治捷</dc:creator>
  <cp:lastModifiedBy>翁治捷</cp:lastModifiedBy>
  <cp:lastPrinted>2026-08-06T11:18:42Z</cp:lastPrinted>
  <dcterms:modified xsi:type="dcterms:W3CDTF">2026-08-06T11:18:51Z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E4A233832BA7E0D34A95716A60BF94AB_41</vt:lpwstr>
  </property>
</Properties>
</file>