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4324F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  <w:jc w:val="center"/>
        <w:rPr>
          <w:sz w:val="36"/>
          <w:szCs w:val="36"/>
        </w:rPr>
      </w:pPr>
      <w:r>
        <w:rPr>
          <w:sz w:val="36"/>
          <w:szCs w:val="36"/>
        </w:rPr>
        <w:t>食堂有害生物消杀服务项目报价表</w:t>
      </w:r>
    </w:p>
    <w:p w14:paraId="6FBAC2D2"/>
    <w:tbl>
      <w:tblPr>
        <w:tblStyle w:val="5"/>
        <w:tblW w:w="99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45"/>
        <w:gridCol w:w="3243"/>
        <w:gridCol w:w="1712"/>
        <w:gridCol w:w="3001"/>
      </w:tblGrid>
      <w:tr w14:paraId="4948270C">
        <w:trPr>
          <w:tblHeader/>
          <w:jc w:val="center"/>
        </w:trPr>
        <w:tc>
          <w:tcPr>
            <w:tcW w:w="1945" w:type="dxa"/>
            <w:shd w:val="clear" w:color="auto" w:fill="auto"/>
            <w:vAlign w:val="center"/>
          </w:tcPr>
          <w:p w14:paraId="05CEC5A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 w:eastAsia="zh-CN"/>
              </w:rPr>
              <w:t>服务名称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3E72FD6B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 w:eastAsia="zh-CN"/>
              </w:rPr>
              <w:t>服务内容与周期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2D597528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 w:eastAsia="zh-CN"/>
              </w:rPr>
              <w:t>总价（元）</w:t>
            </w:r>
          </w:p>
        </w:tc>
        <w:tc>
          <w:tcPr>
            <w:tcW w:w="3001" w:type="dxa"/>
            <w:shd w:val="clear" w:color="auto" w:fill="auto"/>
            <w:vAlign w:val="center"/>
          </w:tcPr>
          <w:p w14:paraId="21E2424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 w:eastAsia="zh-CN"/>
              </w:rPr>
              <w:t>备注说明</w:t>
            </w:r>
          </w:p>
        </w:tc>
      </w:tr>
      <w:tr w14:paraId="78C1B930">
        <w:trPr>
          <w:jc w:val="center"/>
        </w:trPr>
        <w:tc>
          <w:tcPr>
            <w:tcW w:w="1945" w:type="dxa"/>
            <w:shd w:val="clear" w:color="auto" w:fill="auto"/>
            <w:vAlign w:val="center"/>
          </w:tcPr>
          <w:p w14:paraId="7BD655ED">
            <w:r>
              <w:rPr>
                <w:lang w:val="en-US" w:eastAsia="zh-CN"/>
              </w:rPr>
              <w:t>食堂有害生物综合消杀服务</w:t>
            </w:r>
          </w:p>
        </w:tc>
        <w:tc>
          <w:tcPr>
            <w:tcW w:w="3243" w:type="dxa"/>
            <w:shd w:val="clear" w:color="auto" w:fill="auto"/>
            <w:vAlign w:val="center"/>
          </w:tcPr>
          <w:p w14:paraId="7D630D1E">
            <w:pPr>
              <w:jc w:val="left"/>
            </w:pPr>
            <w:r>
              <w:rPr>
                <w:lang w:val="en-US" w:eastAsia="zh-CN"/>
              </w:rPr>
              <w:t>覆盖教工食堂、长胜园三食堂一楼、一食堂二楼</w:t>
            </w:r>
            <w:r>
              <w:rPr>
                <w:rFonts w:hint="eastAsia"/>
                <w:lang w:val="en-US" w:eastAsia="zh-CN"/>
              </w:rPr>
              <w:t>（截至2027年1月底）</w:t>
            </w:r>
            <w:r>
              <w:rPr>
                <w:lang w:val="en-US" w:eastAsia="zh-CN"/>
              </w:rPr>
              <w:t>；全年12次按月消杀，含药剂、人工、月度回访、虫害超标免费补杀、消杀台账及影像资料</w:t>
            </w:r>
          </w:p>
        </w:tc>
        <w:tc>
          <w:tcPr>
            <w:tcW w:w="1712" w:type="dxa"/>
            <w:shd w:val="clear" w:color="auto" w:fill="auto"/>
            <w:vAlign w:val="center"/>
          </w:tcPr>
          <w:p w14:paraId="7DFF4503">
            <w:pPr>
              <w:rPr>
                <w:rFonts w:hint="eastAsia"/>
              </w:rPr>
            </w:pPr>
          </w:p>
        </w:tc>
        <w:tc>
          <w:tcPr>
            <w:tcW w:w="3001" w:type="dxa"/>
            <w:vMerge w:val="restart"/>
            <w:shd w:val="clear" w:color="auto" w:fill="auto"/>
            <w:vAlign w:val="center"/>
          </w:tcPr>
          <w:p w14:paraId="76E11ABB">
            <w:pPr>
              <w:numPr>
                <w:ilvl w:val="0"/>
                <w:numId w:val="0"/>
              </w:numPr>
              <w:rPr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1.</w:t>
            </w:r>
            <w:r>
              <w:rPr>
                <w:lang w:val="en-US" w:eastAsia="zh-CN"/>
              </w:rPr>
              <w:t>每月上门标准化消杀，药剂符合餐饮食品安全规范；</w:t>
            </w:r>
          </w:p>
          <w:p w14:paraId="06E9C9E8">
            <w:pPr>
              <w:numPr>
                <w:ilvl w:val="0"/>
                <w:numId w:val="0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2.每次作业出具消杀记录+现场实拍图；</w:t>
            </w:r>
          </w:p>
          <w:p w14:paraId="4E1039FE">
            <w:pPr>
              <w:numPr>
                <w:ilvl w:val="0"/>
                <w:numId w:val="0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3.服务期内虫害反弹免费上门补杀；</w:t>
            </w:r>
          </w:p>
          <w:p w14:paraId="6315EC36">
            <w:pPr>
              <w:numPr>
                <w:ilvl w:val="0"/>
                <w:numId w:val="0"/>
              </w:numPr>
              <w:rPr>
                <w:lang w:val="en-US" w:eastAsia="zh-CN"/>
              </w:rPr>
            </w:pPr>
            <w:r>
              <w:rPr>
                <w:lang w:val="en-US" w:eastAsia="zh-CN"/>
              </w:rPr>
              <w:t>4.配合学校食品安全检查提供全套消杀档案</w:t>
            </w:r>
          </w:p>
          <w:p w14:paraId="7DA4B276">
            <w:pPr>
              <w:numPr>
                <w:ilvl w:val="0"/>
                <w:numId w:val="0"/>
              </w:num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5.</w:t>
            </w:r>
            <w:r>
              <w:rPr>
                <w:lang w:val="en-US" w:eastAsia="zh-CN"/>
              </w:rPr>
              <w:t>总预算控制≤</w:t>
            </w:r>
            <w:r>
              <w:rPr>
                <w:rFonts w:hint="eastAsia"/>
                <w:lang w:val="en-US" w:eastAsia="zh-CN"/>
              </w:rPr>
              <w:t>9</w:t>
            </w:r>
            <w:r>
              <w:rPr>
                <w:lang w:val="en-US" w:eastAsia="zh-CN"/>
              </w:rPr>
              <w:t>00</w:t>
            </w:r>
            <w:bookmarkStart w:id="0" w:name="_GoBack"/>
            <w:bookmarkEnd w:id="0"/>
            <w:r>
              <w:rPr>
                <w:lang w:val="en-US" w:eastAsia="zh-CN"/>
              </w:rPr>
              <w:t>0元</w:t>
            </w:r>
          </w:p>
        </w:tc>
      </w:tr>
      <w:tr w14:paraId="057ACD6D">
        <w:trPr>
          <w:trHeight w:val="596" w:hRule="atLeast"/>
          <w:jc w:val="center"/>
        </w:trPr>
        <w:tc>
          <w:tcPr>
            <w:tcW w:w="1945" w:type="dxa"/>
            <w:shd w:val="clear" w:color="auto" w:fill="auto"/>
            <w:vAlign w:val="center"/>
          </w:tcPr>
          <w:p w14:paraId="4282948F">
            <w:pPr>
              <w:jc w:val="center"/>
              <w:rPr>
                <w:lang w:val="en-US" w:eastAsia="zh-CN"/>
              </w:rPr>
            </w:pPr>
            <w:r>
              <w:rPr>
                <w:b/>
                <w:bCs/>
                <w:lang w:val="en-US" w:eastAsia="zh-CN"/>
              </w:rPr>
              <w:t>合计总价（元）</w:t>
            </w:r>
          </w:p>
        </w:tc>
        <w:tc>
          <w:tcPr>
            <w:tcW w:w="4955" w:type="dxa"/>
            <w:gridSpan w:val="2"/>
            <w:shd w:val="clear" w:color="auto" w:fill="auto"/>
            <w:vAlign w:val="center"/>
          </w:tcPr>
          <w:p w14:paraId="1B02D255">
            <w:pPr>
              <w:rPr>
                <w:rFonts w:hint="eastAsia"/>
              </w:rPr>
            </w:pPr>
          </w:p>
        </w:tc>
        <w:tc>
          <w:tcPr>
            <w:tcW w:w="3001" w:type="dxa"/>
            <w:vMerge w:val="continue"/>
            <w:shd w:val="clear" w:color="auto" w:fill="auto"/>
            <w:vAlign w:val="center"/>
          </w:tcPr>
          <w:p w14:paraId="02ACE992"/>
        </w:tc>
      </w:tr>
      <w:tr w14:paraId="26E555F5">
        <w:trPr>
          <w:trHeight w:val="688" w:hRule="atLeast"/>
          <w:jc w:val="center"/>
        </w:trPr>
        <w:tc>
          <w:tcPr>
            <w:tcW w:w="1945" w:type="dxa"/>
            <w:shd w:val="clear" w:color="auto" w:fill="auto"/>
            <w:vAlign w:val="center"/>
          </w:tcPr>
          <w:p w14:paraId="4EF0CFFA">
            <w:pPr>
              <w:jc w:val="center"/>
              <w:rPr>
                <w:lang w:val="en-US" w:eastAsia="zh-CN"/>
              </w:rPr>
            </w:pPr>
            <w:r>
              <w:rPr>
                <w:b/>
                <w:bCs/>
                <w:lang w:val="en-US" w:eastAsia="zh-CN"/>
              </w:rPr>
              <w:t>服务年限</w:t>
            </w:r>
          </w:p>
        </w:tc>
        <w:tc>
          <w:tcPr>
            <w:tcW w:w="4955" w:type="dxa"/>
            <w:gridSpan w:val="2"/>
            <w:shd w:val="clear" w:color="auto" w:fill="auto"/>
            <w:vAlign w:val="center"/>
          </w:tcPr>
          <w:p w14:paraId="30C664E0">
            <w:pPr>
              <w:rPr>
                <w:rFonts w:hint="eastAsia"/>
              </w:rPr>
            </w:pPr>
            <w:r>
              <w:rPr>
                <w:lang w:val="en-US" w:eastAsia="zh-CN"/>
              </w:rPr>
              <w:t>2年（2026.08.20-2028.08.19）</w:t>
            </w:r>
          </w:p>
        </w:tc>
        <w:tc>
          <w:tcPr>
            <w:tcW w:w="3001" w:type="dxa"/>
            <w:vMerge w:val="continue"/>
            <w:shd w:val="clear" w:color="auto" w:fill="auto"/>
            <w:vAlign w:val="center"/>
          </w:tcPr>
          <w:p w14:paraId="0BC7C0BB">
            <w:pPr>
              <w:rPr>
                <w:lang w:val="en-US" w:eastAsia="zh-CN"/>
              </w:rPr>
            </w:pPr>
          </w:p>
        </w:tc>
      </w:tr>
    </w:tbl>
    <w:p w14:paraId="5B6274BE">
      <w:pPr>
        <w:rPr>
          <w:rFonts w:hint="eastAsia" w:asciiTheme="majorEastAsia" w:hAnsiTheme="majorEastAsia" w:eastAsiaTheme="majorEastAsia" w:cstheme="majorEastAsia"/>
          <w:b/>
          <w:bCs/>
        </w:rPr>
      </w:pPr>
      <w:r>
        <w:rPr>
          <w:rFonts w:hint="eastAsia" w:asciiTheme="majorEastAsia" w:hAnsiTheme="majorEastAsia" w:eastAsiaTheme="majorEastAsia" w:cstheme="majorEastAsia"/>
          <w:b/>
          <w:bCs/>
        </w:rPr>
        <w:t>报价承诺：</w:t>
      </w:r>
    </w:p>
    <w:p w14:paraId="4BA19E54">
      <w:pPr>
        <w:rPr>
          <w:rFonts w:hint="eastAsia" w:asciiTheme="majorEastAsia" w:hAnsiTheme="majorEastAsia" w:eastAsiaTheme="majorEastAsia" w:cstheme="majorEastAsia"/>
          <w:b/>
          <w:bCs/>
        </w:rPr>
      </w:pPr>
      <w:r>
        <w:rPr>
          <w:rFonts w:hint="eastAsia" w:asciiTheme="majorEastAsia" w:hAnsiTheme="majorEastAsia" w:eastAsiaTheme="majorEastAsia" w:cstheme="majorEastAsia"/>
          <w:b/>
          <w:bCs/>
          <w:lang w:val="en-US" w:eastAsia="zh-CN"/>
        </w:rPr>
        <w:t>①表格栏数不足可自行增加； ②本报价包含消杀药剂、作业人工、防护耗材、往返交通、月度回访、应急补杀、纸质 / 电子档案、税费、2 年全程售后等全部费用，采购人无需额外支付任何费用； ③本项目以人民币报价，单位为元，单价、总价精确到小数点后两位； ④服务商具备正规有害生物防治资质，所用消杀药剂持有合法登记证明，适配餐饮食堂场景，无食品安全隐患； ⑤服务覆盖江西师范大学指定三处食堂全域，严格按月完成 12 次 / 年消杀作业，完整留存作业凭证； ⑥本项目采用最低评标价法进行比选，在符合消杀服务需求、药品合规、质量和服务相等的前提下，以总报价最低的服务商作为成交服务商； ⑦结算仅支持公对公银行转账，报价单位承诺可开具合规增值税发票，并提供有效对公收款账户，不接受私人账户收款。</w:t>
      </w:r>
    </w:p>
    <w:p w14:paraId="79A5EB3E">
      <w:pPr>
        <w:spacing w:line="480" w:lineRule="auto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>报价单位（加盖公章）：</w:t>
      </w:r>
    </w:p>
    <w:p w14:paraId="183EE5AE">
      <w:pPr>
        <w:spacing w:line="480" w:lineRule="auto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 xml:space="preserve">法定代表人： </w:t>
      </w:r>
    </w:p>
    <w:p w14:paraId="213766D1">
      <w:pPr>
        <w:spacing w:line="480" w:lineRule="auto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 xml:space="preserve">联系电话： </w:t>
      </w:r>
    </w:p>
    <w:p w14:paraId="4618B81F">
      <w:pPr>
        <w:spacing w:line="480" w:lineRule="auto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 xml:space="preserve">对公账户信息： </w:t>
      </w:r>
    </w:p>
    <w:p w14:paraId="22F604F3">
      <w:pPr>
        <w:spacing w:line="480" w:lineRule="auto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 xml:space="preserve">开户名称： </w:t>
      </w:r>
    </w:p>
    <w:p w14:paraId="723E064F">
      <w:pPr>
        <w:spacing w:line="480" w:lineRule="auto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 xml:space="preserve">开户银行： </w:t>
      </w:r>
    </w:p>
    <w:p w14:paraId="54D239AB">
      <w:pPr>
        <w:spacing w:line="480" w:lineRule="auto"/>
        <w:rPr>
          <w:sz w:val="24"/>
          <w:szCs w:val="24"/>
          <w:lang w:val="en-US" w:eastAsia="zh-CN"/>
        </w:rPr>
      </w:pPr>
      <w:r>
        <w:rPr>
          <w:sz w:val="24"/>
          <w:szCs w:val="24"/>
          <w:lang w:val="en-US" w:eastAsia="zh-CN"/>
        </w:rPr>
        <w:t xml:space="preserve">银行账号： </w:t>
      </w:r>
    </w:p>
    <w:p w14:paraId="76DB3F84">
      <w:pPr>
        <w:spacing w:line="480" w:lineRule="auto"/>
        <w:rPr>
          <w:sz w:val="24"/>
          <w:szCs w:val="24"/>
        </w:rPr>
      </w:pPr>
      <w:r>
        <w:rPr>
          <w:sz w:val="24"/>
          <w:szCs w:val="24"/>
          <w:lang w:val="en-US" w:eastAsia="zh-CN"/>
        </w:rPr>
        <w:t>报价日期：</w:t>
      </w:r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sz w:val="24"/>
          <w:szCs w:val="24"/>
          <w:lang w:val="en-US" w:eastAsia="zh-CN"/>
        </w:rPr>
        <w:t xml:space="preserve">年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  <w:lang w:val="en-US" w:eastAsia="zh-CN"/>
        </w:rPr>
        <w:t xml:space="preserve">月 </w:t>
      </w:r>
      <w:r>
        <w:rPr>
          <w:rFonts w:hint="eastAsia"/>
          <w:sz w:val="24"/>
          <w:szCs w:val="24"/>
          <w:lang w:val="en-US" w:eastAsia="zh-CN"/>
        </w:rPr>
        <w:t xml:space="preserve">   </w:t>
      </w:r>
      <w:r>
        <w:rPr>
          <w:sz w:val="24"/>
          <w:szCs w:val="24"/>
          <w:lang w:val="en-US" w:eastAsia="zh-CN"/>
        </w:rPr>
        <w:t>日</w:t>
      </w:r>
    </w:p>
    <w:p w14:paraId="490237A2">
      <w:pPr>
        <w:rPr>
          <w:sz w:val="28"/>
          <w:szCs w:val="28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FE21A"/>
    <w:rsid w:val="75BFE21A"/>
    <w:rsid w:val="FBFF24B9"/>
    <w:rsid w:val="FD4EC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61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2026-08-05T07:51:00Z</dcterms:created>
  <dc:creator>翁治捷</dc:creator>
  <cp:lastModifiedBy>翁治捷</cp:lastModifiedBy>
  <cp:lastPrinted>2026-08-06T11:18:25Z</cp:lastPrinted>
  <dcterms:modified xsi:type="dcterms:W3CDTF">2026-08-06T11:18:31Z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8FF64D1FDB2841D81F9A716AC793398E_41</vt:lpwstr>
  </property>
</Properties>
</file>